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BCAF" w14:textId="77777777" w:rsidR="00B74EF6" w:rsidRPr="007E5623" w:rsidRDefault="00B74EF6" w:rsidP="00B74EF6">
      <w:pPr>
        <w:jc w:val="right"/>
        <w:rPr>
          <w:rFonts w:ascii="Arial" w:hAnsi="Arial" w:cs="Arial"/>
        </w:rPr>
      </w:pPr>
      <w:r w:rsidRPr="007E5623">
        <w:rPr>
          <w:rFonts w:ascii="Arial" w:hAnsi="Arial" w:cs="Arial"/>
        </w:rPr>
        <w:t>Formato IC-24</w:t>
      </w:r>
    </w:p>
    <w:p w14:paraId="6CBC59DE" w14:textId="77777777" w:rsidR="00B74EF6" w:rsidRPr="007E5623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  <w:r w:rsidRPr="007E5623">
        <w:rPr>
          <w:rFonts w:ascii="Arial" w:hAnsi="Arial" w:cs="Arial"/>
          <w:b/>
          <w:bCs/>
        </w:rPr>
        <w:t>COMISIÓN DE AGUA POTABLE Y ALCANTARILLADO DE TAXCO</w:t>
      </w:r>
    </w:p>
    <w:p w14:paraId="10D080C1" w14:textId="624C3F97" w:rsidR="00B74EF6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7E5623">
        <w:rPr>
          <w:rFonts w:ascii="Arial" w:hAnsi="Arial" w:cs="Arial"/>
          <w:b/>
          <w:bCs/>
        </w:rPr>
        <w:t>nforme del 1 de e</w:t>
      </w:r>
      <w:r w:rsidR="00C43283">
        <w:rPr>
          <w:rFonts w:ascii="Arial" w:hAnsi="Arial" w:cs="Arial"/>
          <w:b/>
          <w:bCs/>
        </w:rPr>
        <w:t>nero al 3</w:t>
      </w:r>
      <w:r w:rsidR="00D841D3">
        <w:rPr>
          <w:rFonts w:ascii="Arial" w:hAnsi="Arial" w:cs="Arial"/>
          <w:b/>
          <w:bCs/>
        </w:rPr>
        <w:t>1</w:t>
      </w:r>
      <w:r w:rsidR="00C43283">
        <w:rPr>
          <w:rFonts w:ascii="Arial" w:hAnsi="Arial" w:cs="Arial"/>
          <w:b/>
          <w:bCs/>
        </w:rPr>
        <w:t xml:space="preserve"> de </w:t>
      </w:r>
      <w:r w:rsidR="00414232">
        <w:rPr>
          <w:rFonts w:ascii="Arial" w:hAnsi="Arial" w:cs="Arial"/>
          <w:b/>
          <w:bCs/>
        </w:rPr>
        <w:t>marzo</w:t>
      </w:r>
      <w:r w:rsidR="00C43283">
        <w:rPr>
          <w:rFonts w:ascii="Arial" w:hAnsi="Arial" w:cs="Arial"/>
          <w:b/>
          <w:bCs/>
        </w:rPr>
        <w:t xml:space="preserve"> del 202</w:t>
      </w:r>
      <w:r w:rsidR="00414232">
        <w:rPr>
          <w:rFonts w:ascii="Arial" w:hAnsi="Arial" w:cs="Arial"/>
          <w:b/>
          <w:bCs/>
        </w:rPr>
        <w:t>4</w:t>
      </w:r>
    </w:p>
    <w:p w14:paraId="29E81D31" w14:textId="77777777" w:rsidR="00B74EF6" w:rsidRPr="007E5623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</w:p>
    <w:p w14:paraId="48B4B9AA" w14:textId="77777777" w:rsidR="00B74EF6" w:rsidRPr="007E5623" w:rsidRDefault="00B74EF6" w:rsidP="00B74EF6">
      <w:pPr>
        <w:jc w:val="center"/>
        <w:rPr>
          <w:rFonts w:ascii="Arial" w:hAnsi="Arial" w:cs="Arial"/>
        </w:rPr>
      </w:pPr>
      <w:r w:rsidRPr="007E5623">
        <w:rPr>
          <w:rFonts w:ascii="Arial" w:hAnsi="Arial" w:cs="Arial"/>
        </w:rPr>
        <w:t>NOTAS DE GESTIÓN ADMINISTRATIVA</w:t>
      </w:r>
    </w:p>
    <w:p w14:paraId="584398EE" w14:textId="77777777" w:rsidR="00B74EF6" w:rsidRDefault="00B74EF6" w:rsidP="00B74EF6">
      <w:pPr>
        <w:pStyle w:val="Prrafodelista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7E5623">
        <w:rPr>
          <w:rFonts w:ascii="Arial" w:hAnsi="Arial" w:cs="Arial"/>
        </w:rPr>
        <w:t>Las notas de gestión administrativa deben contener los siguientes puntos</w:t>
      </w:r>
    </w:p>
    <w:p w14:paraId="344ECB10" w14:textId="77777777" w:rsidR="00B74EF6" w:rsidRPr="007E5623" w:rsidRDefault="00B74EF6" w:rsidP="00B74EF6">
      <w:pPr>
        <w:pStyle w:val="Prrafodelista"/>
        <w:rPr>
          <w:rFonts w:ascii="Arial" w:hAnsi="Arial" w:cs="Arial"/>
        </w:rPr>
      </w:pPr>
    </w:p>
    <w:p w14:paraId="4DD0EE2B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7E5623">
        <w:rPr>
          <w:rFonts w:ascii="Arial" w:hAnsi="Arial" w:cs="Arial"/>
          <w:b/>
          <w:bCs/>
        </w:rPr>
        <w:t>Introducción:</w:t>
      </w:r>
    </w:p>
    <w:p w14:paraId="634DBACA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E5623">
        <w:rPr>
          <w:rFonts w:ascii="Arial" w:hAnsi="Arial" w:cs="Arial"/>
        </w:rPr>
        <w:t>reve descripción de las actividades principales de la entidad</w:t>
      </w:r>
      <w:r>
        <w:rPr>
          <w:rFonts w:ascii="Arial" w:hAnsi="Arial" w:cs="Arial"/>
        </w:rPr>
        <w:t>.</w:t>
      </w:r>
    </w:p>
    <w:p w14:paraId="3803C90D" w14:textId="77777777" w:rsidR="00B74EF6" w:rsidRPr="00366C4D" w:rsidRDefault="00B74EF6" w:rsidP="00B74EF6">
      <w:pPr>
        <w:pStyle w:val="Prrafodelista"/>
        <w:ind w:left="284"/>
        <w:jc w:val="both"/>
        <w:rPr>
          <w:rFonts w:ascii="Arial" w:hAnsi="Arial" w:cs="Arial"/>
          <w:u w:val="single"/>
        </w:rPr>
      </w:pPr>
      <w:r w:rsidRPr="00366C4D">
        <w:rPr>
          <w:rFonts w:ascii="Arial" w:hAnsi="Arial" w:cs="Arial"/>
          <w:u w:val="single"/>
        </w:rPr>
        <w:t>La principal actividad de la Comisión de Agua Potable y Alcantarillado de Taxco, es la prestación de servicios correspondientes al suministro de agua potable a través de la captación de agua de los diferentes manantiales y ríos aledaños al municipio de Taxco de Alarcón, Guer</w:t>
      </w:r>
      <w:r>
        <w:rPr>
          <w:rFonts w:ascii="Arial" w:hAnsi="Arial" w:cs="Arial"/>
          <w:u w:val="single"/>
        </w:rPr>
        <w:t>r</w:t>
      </w:r>
      <w:r w:rsidRPr="00366C4D">
        <w:rPr>
          <w:rFonts w:ascii="Arial" w:hAnsi="Arial" w:cs="Arial"/>
          <w:u w:val="single"/>
        </w:rPr>
        <w:t xml:space="preserve">ero, realizando su debido tratamiento en la planta potabilizadora para uso doméstico y con esto poder realizar la distribución del recurso ya tratado, a la comunidad,  para concluir con el tratamiento de las aguas residuales, a fin de solventar la operatividad </w:t>
      </w:r>
      <w:r>
        <w:rPr>
          <w:rFonts w:ascii="Arial" w:hAnsi="Arial" w:cs="Arial"/>
          <w:u w:val="single"/>
        </w:rPr>
        <w:t xml:space="preserve">del organismo, </w:t>
      </w:r>
      <w:r w:rsidRPr="00366C4D">
        <w:rPr>
          <w:rFonts w:ascii="Arial" w:hAnsi="Arial" w:cs="Arial"/>
          <w:u w:val="single"/>
        </w:rPr>
        <w:t>se monitorean mensualmente los consumos de los usuarios a través de las lecturas arrojadas por su equipo de medición y con base en los resultados se efectúa la cobranza.</w:t>
      </w:r>
    </w:p>
    <w:p w14:paraId="0444C042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C9050DB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366C4D">
        <w:rPr>
          <w:rFonts w:ascii="Arial" w:hAnsi="Arial" w:cs="Arial"/>
          <w:b/>
          <w:bCs/>
        </w:rPr>
        <w:t>Describir el panorama económico y financiero:</w:t>
      </w:r>
    </w:p>
    <w:p w14:paraId="277ADA32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informará sobre las principales condiciones económic</w:t>
      </w:r>
      <w:r>
        <w:rPr>
          <w:rFonts w:ascii="Arial" w:hAnsi="Arial" w:cs="Arial"/>
        </w:rPr>
        <w:t>o-</w:t>
      </w:r>
      <w:r w:rsidRPr="007E5623">
        <w:rPr>
          <w:rFonts w:ascii="Arial" w:hAnsi="Arial" w:cs="Arial"/>
        </w:rPr>
        <w:t>financieras</w:t>
      </w:r>
      <w:r>
        <w:rPr>
          <w:rFonts w:ascii="Arial" w:hAnsi="Arial" w:cs="Arial"/>
        </w:rPr>
        <w:t xml:space="preserve"> </w:t>
      </w:r>
      <w:r w:rsidRPr="007E5623">
        <w:rPr>
          <w:rFonts w:ascii="Arial" w:hAnsi="Arial" w:cs="Arial"/>
        </w:rPr>
        <w:t>bajo las cuales el ente público estuvo operando</w:t>
      </w:r>
      <w:r>
        <w:rPr>
          <w:rFonts w:ascii="Arial" w:hAnsi="Arial" w:cs="Arial"/>
        </w:rPr>
        <w:t>;</w:t>
      </w:r>
      <w:r w:rsidRPr="007E5623">
        <w:rPr>
          <w:rFonts w:ascii="Arial" w:hAnsi="Arial" w:cs="Arial"/>
        </w:rPr>
        <w:t xml:space="preserve"> y las cuales influyeron en la toma de decisiones de la </w:t>
      </w: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>dministración municipal</w:t>
      </w:r>
      <w:r>
        <w:rPr>
          <w:rFonts w:ascii="Arial" w:hAnsi="Arial" w:cs="Arial"/>
        </w:rPr>
        <w:t>.</w:t>
      </w:r>
    </w:p>
    <w:p w14:paraId="2F117493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</w:p>
    <w:p w14:paraId="4BB1FF06" w14:textId="77777777" w:rsidR="00B74EF6" w:rsidRPr="007E5623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 w:rsidRPr="00BB5228">
        <w:rPr>
          <w:rFonts w:ascii="Arial" w:hAnsi="Arial" w:cs="Arial"/>
          <w:u w:val="single"/>
        </w:rPr>
        <w:t>El organismo operador obtiene ingresos propios, a través del cobro por el suministro, tratamiento y potabilización de agua; a los ciudadanos que cuentan con un contrato de agua activo, dentro del municipio de Taxco de Alarcón Guerrero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los ingresos recaudados son administrados para garantizar la operatividad del organismo operador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la custodia y la administración de dichos ingresos,</w:t>
      </w:r>
      <w:r>
        <w:rPr>
          <w:rFonts w:ascii="Arial" w:hAnsi="Arial" w:cs="Arial"/>
          <w:u w:val="single"/>
        </w:rPr>
        <w:t xml:space="preserve"> recae en el Director General y el Director de Administración y F</w:t>
      </w:r>
      <w:r w:rsidRPr="00BB5228">
        <w:rPr>
          <w:rFonts w:ascii="Arial" w:hAnsi="Arial" w:cs="Arial"/>
          <w:u w:val="single"/>
        </w:rPr>
        <w:t>inanzas a fin de ser manejados eficaz y eficiente buscando siempre el uso racional del recurso</w:t>
      </w:r>
      <w:r>
        <w:rPr>
          <w:rFonts w:ascii="Arial" w:hAnsi="Arial" w:cs="Arial"/>
        </w:rPr>
        <w:t>.</w:t>
      </w:r>
    </w:p>
    <w:p w14:paraId="069157E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0E71BA2" w14:textId="77777777" w:rsidR="00B74EF6" w:rsidRPr="00BB5228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BB5228">
        <w:rPr>
          <w:rFonts w:ascii="Arial" w:hAnsi="Arial" w:cs="Arial"/>
          <w:b/>
          <w:bCs/>
        </w:rPr>
        <w:t>Autorización y antecedentes:</w:t>
      </w:r>
    </w:p>
    <w:p w14:paraId="0D1BC4FC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5228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0200A62C" w14:textId="60D15751" w:rsidR="00B74EF6" w:rsidRPr="00B427F6" w:rsidRDefault="00806DA7" w:rsidP="00236068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entrega de la cuenta </w:t>
      </w:r>
      <w:proofErr w:type="spellStart"/>
      <w:r>
        <w:rPr>
          <w:rFonts w:ascii="Arial" w:hAnsi="Arial" w:cs="Arial"/>
        </w:rPr>
        <w:t>publica</w:t>
      </w:r>
      <w:proofErr w:type="spellEnd"/>
      <w:r>
        <w:rPr>
          <w:rFonts w:ascii="Arial" w:hAnsi="Arial" w:cs="Arial"/>
        </w:rPr>
        <w:t xml:space="preserve"> 2023.</w:t>
      </w:r>
    </w:p>
    <w:p w14:paraId="6DF39E8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36168CC0" w14:textId="77777777" w:rsidR="00B74EF6" w:rsidRPr="0031618D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Pr="0031618D">
        <w:rPr>
          <w:rFonts w:ascii="Arial" w:hAnsi="Arial" w:cs="Arial"/>
          <w:b/>
          <w:bCs/>
        </w:rPr>
        <w:t>rganización y objeto social:</w:t>
      </w:r>
    </w:p>
    <w:p w14:paraId="1A22602B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31618D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33D010D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1618D">
        <w:rPr>
          <w:rFonts w:ascii="Arial" w:hAnsi="Arial" w:cs="Arial"/>
        </w:rPr>
        <w:t>bjeto social y principales actividades</w:t>
      </w:r>
      <w:r>
        <w:rPr>
          <w:rFonts w:ascii="Arial" w:hAnsi="Arial" w:cs="Arial"/>
        </w:rPr>
        <w:t>:</w:t>
      </w:r>
    </w:p>
    <w:p w14:paraId="5023AD73" w14:textId="77777777" w:rsidR="00B74EF6" w:rsidRPr="0031618D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Es el de captación, tratamiento y suministro de agua para uso doméstico y uso no doméstico, su principal actividad es la prestación del servicio de suministro de agua a la cabecera municipal y el tratamiento de aguas residuales, para estas actividades se toman lecturas a los usuarios del servicio y se les realiza la cobranza, los recursos cobrados se utilizan para la administración y operatividad del organismo.</w:t>
      </w:r>
    </w:p>
    <w:p w14:paraId="03C1F35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A10CE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Régimen J</w:t>
      </w:r>
      <w:r w:rsidRPr="0031618D">
        <w:rPr>
          <w:rFonts w:ascii="Arial" w:hAnsi="Arial" w:cs="Arial"/>
        </w:rPr>
        <w:t>urídico que le es aplicable</w:t>
      </w:r>
      <w:r>
        <w:rPr>
          <w:rFonts w:ascii="Arial" w:hAnsi="Arial" w:cs="Arial"/>
        </w:rPr>
        <w:t>.</w:t>
      </w:r>
      <w:r w:rsidRPr="00316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</w:t>
      </w:r>
      <w:r w:rsidRPr="0031618D">
        <w:rPr>
          <w:rFonts w:ascii="Arial" w:hAnsi="Arial" w:cs="Arial"/>
        </w:rPr>
        <w:t>orma como está dada de alta la entidad ante la Secretaría de Hacienda y Crédito Público</w:t>
      </w:r>
      <w:r>
        <w:rPr>
          <w:rFonts w:ascii="Arial" w:hAnsi="Arial" w:cs="Arial"/>
        </w:rPr>
        <w:t>,</w:t>
      </w:r>
      <w:r w:rsidRPr="00316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31618D">
        <w:rPr>
          <w:rFonts w:ascii="Arial" w:hAnsi="Arial" w:cs="Arial"/>
        </w:rPr>
        <w:t>nidad</w:t>
      </w:r>
      <w:r>
        <w:rPr>
          <w:rFonts w:ascii="Arial" w:hAnsi="Arial" w:cs="Arial"/>
        </w:rPr>
        <w:t>,</w:t>
      </w:r>
      <w:r w:rsidRPr="0031618D">
        <w:rPr>
          <w:rFonts w:ascii="Arial" w:hAnsi="Arial" w:cs="Arial"/>
        </w:rPr>
        <w:t xml:space="preserve"> etcétera</w:t>
      </w:r>
      <w:r>
        <w:rPr>
          <w:rFonts w:ascii="Arial" w:hAnsi="Arial" w:cs="Arial"/>
        </w:rPr>
        <w:t>)</w:t>
      </w:r>
    </w:p>
    <w:p w14:paraId="37799C0B" w14:textId="77777777" w:rsidR="00B74EF6" w:rsidRPr="005E27B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El organismo</w:t>
      </w:r>
      <w:r w:rsidRPr="005E27B5">
        <w:rPr>
          <w:rFonts w:ascii="Arial" w:hAnsi="Arial" w:cs="Arial"/>
          <w:u w:val="single"/>
        </w:rPr>
        <w:t xml:space="preserve"> se encuentra registrado en el padrón de contribuyentes como Comisión de Agua Potable y Alcantarillado de Taxco en el régimen de Personas Morales con Fines no Lucrativos</w:t>
      </w:r>
    </w:p>
    <w:p w14:paraId="4F64117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CFEAFF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5E27B5">
        <w:rPr>
          <w:rFonts w:ascii="Arial" w:hAnsi="Arial" w:cs="Arial"/>
        </w:rPr>
        <w:t xml:space="preserve">Consideraciones Fiscales </w:t>
      </w:r>
      <w:r>
        <w:rPr>
          <w:rFonts w:ascii="Arial" w:hAnsi="Arial" w:cs="Arial"/>
        </w:rPr>
        <w:t>d</w:t>
      </w:r>
      <w:r w:rsidRPr="005E27B5">
        <w:rPr>
          <w:rFonts w:ascii="Arial" w:hAnsi="Arial" w:cs="Arial"/>
        </w:rPr>
        <w:t>el ente</w:t>
      </w:r>
      <w:r>
        <w:rPr>
          <w:rFonts w:ascii="Arial" w:hAnsi="Arial" w:cs="Arial"/>
        </w:rPr>
        <w:t>: obligaciones f</w:t>
      </w:r>
      <w:r w:rsidRPr="005E27B5">
        <w:rPr>
          <w:rFonts w:ascii="Arial" w:hAnsi="Arial" w:cs="Arial"/>
        </w:rPr>
        <w:t xml:space="preserve">iscales </w:t>
      </w:r>
      <w:r>
        <w:rPr>
          <w:rFonts w:ascii="Arial" w:hAnsi="Arial" w:cs="Arial"/>
        </w:rPr>
        <w:t>(</w:t>
      </w:r>
      <w:r w:rsidRPr="005E27B5">
        <w:rPr>
          <w:rFonts w:ascii="Arial" w:hAnsi="Arial" w:cs="Arial"/>
        </w:rPr>
        <w:t>contribuciones que esté obligado a pagar o retener</w:t>
      </w:r>
      <w:r>
        <w:rPr>
          <w:rFonts w:ascii="Arial" w:hAnsi="Arial" w:cs="Arial"/>
        </w:rPr>
        <w:t>)</w:t>
      </w:r>
    </w:p>
    <w:p w14:paraId="61B05C62" w14:textId="77777777" w:rsidR="00B74EF6" w:rsidRPr="005E27B5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E27B5">
        <w:rPr>
          <w:rFonts w:ascii="Arial" w:hAnsi="Arial" w:cs="Arial"/>
        </w:rPr>
        <w:t>ago definitivo mensual del IVA</w:t>
      </w:r>
      <w:r>
        <w:rPr>
          <w:rFonts w:ascii="Arial" w:hAnsi="Arial" w:cs="Arial"/>
        </w:rPr>
        <w:t xml:space="preserve">, </w:t>
      </w:r>
      <w:r w:rsidRPr="005E27B5">
        <w:rPr>
          <w:rFonts w:ascii="Arial" w:hAnsi="Arial" w:cs="Arial"/>
        </w:rPr>
        <w:t xml:space="preserve">entero de retenciones mensuales del </w:t>
      </w:r>
      <w:r>
        <w:rPr>
          <w:rFonts w:ascii="Arial" w:hAnsi="Arial" w:cs="Arial"/>
        </w:rPr>
        <w:t>ISR</w:t>
      </w:r>
      <w:r w:rsidRPr="005E27B5">
        <w:rPr>
          <w:rFonts w:ascii="Arial" w:hAnsi="Arial" w:cs="Arial"/>
        </w:rPr>
        <w:t xml:space="preserve"> por sueldos y salarios</w:t>
      </w:r>
      <w:r>
        <w:rPr>
          <w:rFonts w:ascii="Arial" w:hAnsi="Arial" w:cs="Arial"/>
        </w:rPr>
        <w:t>,</w:t>
      </w:r>
      <w:r w:rsidRPr="005E27B5">
        <w:rPr>
          <w:rFonts w:ascii="Arial" w:hAnsi="Arial" w:cs="Arial"/>
        </w:rPr>
        <w:t xml:space="preserve"> declaración informativa de </w:t>
      </w:r>
      <w:r>
        <w:rPr>
          <w:rFonts w:ascii="Arial" w:hAnsi="Arial" w:cs="Arial"/>
        </w:rPr>
        <w:t>IVA con la anual de ISR,</w:t>
      </w:r>
      <w:r w:rsidRPr="005E27B5">
        <w:rPr>
          <w:rFonts w:ascii="Arial" w:hAnsi="Arial" w:cs="Arial"/>
        </w:rPr>
        <w:t xml:space="preserve"> declaraciones de proveedores de IVA y declaración informativa mensual de proveedores</w:t>
      </w:r>
    </w:p>
    <w:p w14:paraId="45D4FF6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7571086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4371C7">
        <w:rPr>
          <w:rFonts w:ascii="Arial" w:hAnsi="Arial" w:cs="Arial"/>
        </w:rPr>
        <w:t xml:space="preserve">Estructura organizacional básica. </w:t>
      </w:r>
      <w:r>
        <w:rPr>
          <w:rFonts w:ascii="Arial" w:hAnsi="Arial" w:cs="Arial"/>
        </w:rPr>
        <w:t>–</w:t>
      </w:r>
      <w:r w:rsidRPr="004371C7">
        <w:rPr>
          <w:rFonts w:ascii="Arial" w:hAnsi="Arial" w:cs="Arial"/>
        </w:rPr>
        <w:t xml:space="preserve"> </w:t>
      </w:r>
    </w:p>
    <w:p w14:paraId="0221B30F" w14:textId="397CE205" w:rsidR="00B74EF6" w:rsidRPr="004371C7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371C7">
        <w:rPr>
          <w:rFonts w:ascii="Arial" w:hAnsi="Arial" w:cs="Arial"/>
        </w:rPr>
        <w:t xml:space="preserve">Consejo de administración, </w:t>
      </w:r>
      <w:proofErr w:type="gramStart"/>
      <w:r w:rsidRPr="004371C7">
        <w:rPr>
          <w:rFonts w:ascii="Arial" w:hAnsi="Arial" w:cs="Arial"/>
        </w:rPr>
        <w:t>Director</w:t>
      </w:r>
      <w:proofErr w:type="gramEnd"/>
      <w:r w:rsidRPr="004371C7">
        <w:rPr>
          <w:rFonts w:ascii="Arial" w:hAnsi="Arial" w:cs="Arial"/>
        </w:rPr>
        <w:t xml:space="preserve"> general,</w:t>
      </w:r>
      <w:r w:rsidR="00130FEC">
        <w:rPr>
          <w:rFonts w:ascii="Arial" w:hAnsi="Arial" w:cs="Arial"/>
        </w:rPr>
        <w:t xml:space="preserve"> </w:t>
      </w:r>
      <w:proofErr w:type="spellStart"/>
      <w:r w:rsidR="00130FEC">
        <w:rPr>
          <w:rFonts w:ascii="Arial" w:hAnsi="Arial" w:cs="Arial"/>
        </w:rPr>
        <w:t>Organo</w:t>
      </w:r>
      <w:proofErr w:type="spellEnd"/>
      <w:r w:rsidR="00130FEC">
        <w:rPr>
          <w:rFonts w:ascii="Arial" w:hAnsi="Arial" w:cs="Arial"/>
        </w:rPr>
        <w:t xml:space="preserve"> De Control Interno,</w:t>
      </w:r>
      <w:r w:rsidRPr="004371C7">
        <w:rPr>
          <w:rFonts w:ascii="Arial" w:hAnsi="Arial" w:cs="Arial"/>
        </w:rPr>
        <w:t xml:space="preserve"> Director de administración y finanzas, </w:t>
      </w:r>
      <w:r>
        <w:rPr>
          <w:rFonts w:ascii="Arial" w:hAnsi="Arial" w:cs="Arial"/>
        </w:rPr>
        <w:t xml:space="preserve">Director Jurídico, </w:t>
      </w:r>
      <w:r w:rsidRPr="004371C7">
        <w:rPr>
          <w:rFonts w:ascii="Arial" w:hAnsi="Arial" w:cs="Arial"/>
        </w:rPr>
        <w:t>Director comercial, D</w:t>
      </w:r>
      <w:r>
        <w:rPr>
          <w:rFonts w:ascii="Arial" w:hAnsi="Arial" w:cs="Arial"/>
        </w:rPr>
        <w:t>irector</w:t>
      </w:r>
      <w:r w:rsidRPr="004371C7">
        <w:rPr>
          <w:rFonts w:ascii="Arial" w:hAnsi="Arial" w:cs="Arial"/>
        </w:rPr>
        <w:t xml:space="preserve"> Operativo</w:t>
      </w:r>
      <w:r>
        <w:rPr>
          <w:rFonts w:ascii="Arial" w:hAnsi="Arial" w:cs="Arial"/>
        </w:rPr>
        <w:t xml:space="preserve"> y técnico</w:t>
      </w:r>
      <w:r w:rsidRPr="004371C7">
        <w:rPr>
          <w:rFonts w:ascii="Arial" w:hAnsi="Arial" w:cs="Arial"/>
        </w:rPr>
        <w:t xml:space="preserve"> y Jefes de área</w:t>
      </w:r>
      <w:r>
        <w:rPr>
          <w:rFonts w:ascii="Arial" w:hAnsi="Arial" w:cs="Arial"/>
        </w:rPr>
        <w:t>.</w:t>
      </w:r>
    </w:p>
    <w:p w14:paraId="61DEF9C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210B0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Fideicomisos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mandatos y análogos de los cuales es fideicom</w:t>
      </w:r>
      <w:r>
        <w:rPr>
          <w:rFonts w:ascii="Arial" w:hAnsi="Arial" w:cs="Arial"/>
        </w:rPr>
        <w:t>itente</w:t>
      </w:r>
      <w:r w:rsidRPr="00877F3F">
        <w:rPr>
          <w:rFonts w:ascii="Arial" w:hAnsi="Arial" w:cs="Arial"/>
        </w:rPr>
        <w:t xml:space="preserve"> o fideicomisario</w:t>
      </w:r>
      <w:r>
        <w:rPr>
          <w:rFonts w:ascii="Arial" w:hAnsi="Arial" w:cs="Arial"/>
        </w:rPr>
        <w:t>.</w:t>
      </w:r>
    </w:p>
    <w:p w14:paraId="08B1042E" w14:textId="77777777" w:rsidR="00B74EF6" w:rsidRPr="00877F3F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77F3F">
        <w:rPr>
          <w:rFonts w:ascii="Arial" w:hAnsi="Arial" w:cs="Arial"/>
        </w:rPr>
        <w:t xml:space="preserve">ste organismo operador de agua no </w:t>
      </w:r>
      <w:r>
        <w:rPr>
          <w:rFonts w:ascii="Arial" w:hAnsi="Arial" w:cs="Arial"/>
        </w:rPr>
        <w:t>cuenta con</w:t>
      </w:r>
      <w:r w:rsidRPr="00877F3F">
        <w:rPr>
          <w:rFonts w:ascii="Arial" w:hAnsi="Arial" w:cs="Arial"/>
        </w:rPr>
        <w:t xml:space="preserve"> fideicomisos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mandatos </w:t>
      </w:r>
      <w:r>
        <w:rPr>
          <w:rFonts w:ascii="Arial" w:hAnsi="Arial" w:cs="Arial"/>
        </w:rPr>
        <w:t xml:space="preserve">o </w:t>
      </w:r>
      <w:r w:rsidRPr="00877F3F">
        <w:rPr>
          <w:rFonts w:ascii="Arial" w:hAnsi="Arial" w:cs="Arial"/>
        </w:rPr>
        <w:t>análogos</w:t>
      </w:r>
      <w:r>
        <w:rPr>
          <w:rFonts w:ascii="Arial" w:hAnsi="Arial" w:cs="Arial"/>
        </w:rPr>
        <w:t>.</w:t>
      </w:r>
    </w:p>
    <w:p w14:paraId="09FA1D2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B3C01E1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 xml:space="preserve">Bases de </w:t>
      </w:r>
      <w:r>
        <w:rPr>
          <w:rFonts w:ascii="Arial" w:hAnsi="Arial" w:cs="Arial"/>
        </w:rPr>
        <w:t>P</w:t>
      </w:r>
      <w:r w:rsidRPr="00877F3F">
        <w:rPr>
          <w:rFonts w:ascii="Arial" w:hAnsi="Arial" w:cs="Arial"/>
        </w:rPr>
        <w:t xml:space="preserve">reparación de los </w:t>
      </w:r>
      <w:r>
        <w:rPr>
          <w:rFonts w:ascii="Arial" w:hAnsi="Arial" w:cs="Arial"/>
        </w:rPr>
        <w:t>E</w:t>
      </w:r>
      <w:r w:rsidRPr="00877F3F">
        <w:rPr>
          <w:rFonts w:ascii="Arial" w:hAnsi="Arial" w:cs="Arial"/>
        </w:rPr>
        <w:t xml:space="preserve">stados </w:t>
      </w:r>
      <w:r>
        <w:rPr>
          <w:rFonts w:ascii="Arial" w:hAnsi="Arial" w:cs="Arial"/>
        </w:rPr>
        <w:t>F</w:t>
      </w:r>
      <w:r w:rsidRPr="00877F3F">
        <w:rPr>
          <w:rFonts w:ascii="Arial" w:hAnsi="Arial" w:cs="Arial"/>
        </w:rPr>
        <w:t>inancieros</w:t>
      </w:r>
      <w:r>
        <w:rPr>
          <w:rFonts w:ascii="Arial" w:hAnsi="Arial" w:cs="Arial"/>
        </w:rPr>
        <w:t>:</w:t>
      </w:r>
    </w:p>
    <w:p w14:paraId="282109DA" w14:textId="77777777" w:rsidR="00B74EF6" w:rsidRPr="00877F3F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1683C65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85DB347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 xml:space="preserve">e ha observado la normatividad emitida por el </w:t>
      </w:r>
      <w:r>
        <w:rPr>
          <w:rFonts w:ascii="Arial" w:hAnsi="Arial" w:cs="Arial"/>
        </w:rPr>
        <w:t>CONAC</w:t>
      </w:r>
      <w:r w:rsidRPr="00877F3F">
        <w:rPr>
          <w:rFonts w:ascii="Arial" w:hAnsi="Arial" w:cs="Arial"/>
        </w:rPr>
        <w:t xml:space="preserve"> y las disposiciones legales aplicables de acuerdo a lo siguiente</w:t>
      </w:r>
      <w:r>
        <w:rPr>
          <w:rFonts w:ascii="Arial" w:hAnsi="Arial" w:cs="Arial"/>
        </w:rPr>
        <w:t>:</w:t>
      </w:r>
    </w:p>
    <w:p w14:paraId="1DB38E4D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X</w:t>
      </w:r>
      <w:proofErr w:type="gramEnd"/>
      <w:r>
        <w:rPr>
          <w:rFonts w:ascii="Arial" w:hAnsi="Arial" w:cs="Arial"/>
        </w:rPr>
        <w:t xml:space="preserve"> )</w:t>
      </w:r>
      <w:r w:rsidRPr="00877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</w:t>
      </w:r>
      <w:r w:rsidRPr="00877F3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(  )</w:t>
      </w:r>
    </w:p>
    <w:p w14:paraId="0C66DBD8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877F3F">
        <w:rPr>
          <w:rFonts w:ascii="Arial" w:hAnsi="Arial" w:cs="Arial"/>
          <w:u w:val="single"/>
        </w:rPr>
        <w:lastRenderedPageBreak/>
        <w:t xml:space="preserve">Nos encontramos en un proceso constante de actualización y cumplimiento de la </w:t>
      </w:r>
      <w:r>
        <w:rPr>
          <w:rFonts w:ascii="Arial" w:hAnsi="Arial" w:cs="Arial"/>
          <w:u w:val="single"/>
        </w:rPr>
        <w:t>normatividad emitida por el CONAC</w:t>
      </w:r>
      <w:r w:rsidRPr="00877F3F">
        <w:rPr>
          <w:rFonts w:ascii="Arial" w:hAnsi="Arial" w:cs="Arial"/>
          <w:u w:val="single"/>
        </w:rPr>
        <w:t xml:space="preserve"> y demás disposiciones</w:t>
      </w:r>
      <w:r>
        <w:rPr>
          <w:rFonts w:ascii="Arial" w:hAnsi="Arial" w:cs="Arial"/>
          <w:u w:val="single"/>
        </w:rPr>
        <w:t>.</w:t>
      </w:r>
    </w:p>
    <w:p w14:paraId="610CA5F7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</w:p>
    <w:p w14:paraId="3D47CCEC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1.-Sistema de contabilidad utilizado por la administración municipal</w:t>
      </w:r>
      <w:r>
        <w:rPr>
          <w:rFonts w:ascii="Arial" w:hAnsi="Arial" w:cs="Arial"/>
        </w:rPr>
        <w:t>:</w:t>
      </w:r>
    </w:p>
    <w:p w14:paraId="068D4B8F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(  )</w:t>
      </w:r>
      <w:proofErr w:type="gramEnd"/>
      <w:r w:rsidRPr="00877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877F3F">
        <w:rPr>
          <w:rFonts w:ascii="Arial" w:hAnsi="Arial" w:cs="Arial"/>
        </w:rPr>
        <w:t xml:space="preserve">umplimiento </w:t>
      </w:r>
      <w:r>
        <w:rPr>
          <w:rFonts w:ascii="Arial" w:hAnsi="Arial" w:cs="Arial"/>
        </w:rPr>
        <w:t>G</w:t>
      </w:r>
      <w:r w:rsidRPr="00877F3F">
        <w:rPr>
          <w:rFonts w:ascii="Arial" w:hAnsi="Arial" w:cs="Arial"/>
        </w:rPr>
        <w:t xml:space="preserve">eneral de </w:t>
      </w:r>
      <w:r>
        <w:rPr>
          <w:rFonts w:ascii="Arial" w:hAnsi="Arial" w:cs="Arial"/>
        </w:rPr>
        <w:t>L</w:t>
      </w:r>
      <w:r w:rsidRPr="00877F3F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X ) S</w:t>
      </w:r>
      <w:r w:rsidRPr="00877F3F">
        <w:rPr>
          <w:rFonts w:ascii="Arial" w:hAnsi="Arial" w:cs="Arial"/>
        </w:rPr>
        <w:t xml:space="preserve">istema </w:t>
      </w:r>
      <w:r>
        <w:rPr>
          <w:rFonts w:ascii="Arial" w:hAnsi="Arial" w:cs="Arial"/>
        </w:rPr>
        <w:t>B</w:t>
      </w:r>
      <w:r w:rsidRPr="00877F3F">
        <w:rPr>
          <w:rFonts w:ascii="Arial" w:hAnsi="Arial" w:cs="Arial"/>
        </w:rPr>
        <w:t xml:space="preserve">ásico </w:t>
      </w:r>
      <w:r>
        <w:rPr>
          <w:rFonts w:ascii="Arial" w:hAnsi="Arial" w:cs="Arial"/>
        </w:rPr>
        <w:t>G</w:t>
      </w:r>
      <w:r w:rsidRPr="00877F3F">
        <w:rPr>
          <w:rFonts w:ascii="Arial" w:hAnsi="Arial" w:cs="Arial"/>
        </w:rPr>
        <w:t>eneral</w:t>
      </w:r>
    </w:p>
    <w:p w14:paraId="75986DE9" w14:textId="77777777" w:rsidR="00B74EF6" w:rsidRPr="00877F3F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</w:p>
    <w:p w14:paraId="73BD6FF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La normatividad aplicada para el reconocimiento valuación y revelación de los diferentes rubros de la información financiera, así como las bases de medición utilizadas para la elaboración de los estados financieros</w:t>
      </w:r>
      <w:r>
        <w:rPr>
          <w:rFonts w:ascii="Arial" w:hAnsi="Arial" w:cs="Arial"/>
        </w:rPr>
        <w:t>:</w:t>
      </w:r>
      <w:r w:rsidRPr="00877F3F">
        <w:rPr>
          <w:rFonts w:ascii="Arial" w:hAnsi="Arial" w:cs="Arial"/>
        </w:rPr>
        <w:t xml:space="preserve"> por ejemplo, costo histórico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de realización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razonable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de recuperación o cualquier otro método empleado y </w:t>
      </w:r>
      <w:r>
        <w:rPr>
          <w:rFonts w:ascii="Arial" w:hAnsi="Arial" w:cs="Arial"/>
        </w:rPr>
        <w:t>l</w:t>
      </w:r>
      <w:r w:rsidRPr="00877F3F">
        <w:rPr>
          <w:rFonts w:ascii="Arial" w:hAnsi="Arial" w:cs="Arial"/>
        </w:rPr>
        <w:t>os criterios de aplicación de los mismos</w:t>
      </w:r>
      <w:r>
        <w:rPr>
          <w:rFonts w:ascii="Arial" w:hAnsi="Arial" w:cs="Arial"/>
        </w:rPr>
        <w:t>.</w:t>
      </w:r>
    </w:p>
    <w:p w14:paraId="457E2FED" w14:textId="77777777" w:rsidR="00B74EF6" w:rsidRPr="0023401C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23401C">
        <w:rPr>
          <w:rFonts w:ascii="Arial" w:hAnsi="Arial" w:cs="Arial"/>
          <w:u w:val="single"/>
        </w:rPr>
        <w:t>Actualmente nos encontramos en un proceso de constante actualización al personal encargado para el reconocimiento valuación y revelación de los diferentes rubros de la información financiera</w:t>
      </w:r>
    </w:p>
    <w:p w14:paraId="15016A0C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24E04C1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Postulados básicos de contabilidad gubernamental</w:t>
      </w:r>
      <w:r>
        <w:rPr>
          <w:rFonts w:ascii="Arial" w:hAnsi="Arial" w:cs="Arial"/>
        </w:rPr>
        <w:t>.</w:t>
      </w:r>
    </w:p>
    <w:p w14:paraId="36195B5F" w14:textId="77777777" w:rsidR="00B74EF6" w:rsidRPr="007E5623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1</w:t>
      </w:r>
      <w:r>
        <w:rPr>
          <w:rFonts w:ascii="Arial" w:hAnsi="Arial" w:cs="Arial"/>
        </w:rPr>
        <w:t>.S</w:t>
      </w:r>
      <w:r w:rsidRPr="007E5623">
        <w:rPr>
          <w:rFonts w:ascii="Arial" w:hAnsi="Arial" w:cs="Arial"/>
        </w:rPr>
        <w:t xml:space="preserve">ustancia </w:t>
      </w: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>conómica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2.E</w:t>
      </w:r>
      <w:r w:rsidRPr="007E5623">
        <w:rPr>
          <w:rFonts w:ascii="Arial" w:hAnsi="Arial" w:cs="Arial"/>
        </w:rPr>
        <w:t>ntes</w:t>
      </w:r>
      <w:proofErr w:type="gramEnd"/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úblicos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.E</w:t>
      </w:r>
      <w:r w:rsidRPr="007E5623">
        <w:rPr>
          <w:rFonts w:ascii="Arial" w:hAnsi="Arial" w:cs="Arial"/>
        </w:rPr>
        <w:t xml:space="preserve">xistencia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ermanente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.R</w:t>
      </w:r>
      <w:r w:rsidRPr="007E5623">
        <w:rPr>
          <w:rFonts w:ascii="Arial" w:hAnsi="Arial" w:cs="Arial"/>
        </w:rPr>
        <w:t xml:space="preserve">evelación </w:t>
      </w: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uficiente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.I</w:t>
      </w:r>
      <w:r w:rsidRPr="007E5623">
        <w:rPr>
          <w:rFonts w:ascii="Arial" w:hAnsi="Arial" w:cs="Arial"/>
        </w:rPr>
        <w:t xml:space="preserve">mportancia </w:t>
      </w:r>
      <w:r>
        <w:rPr>
          <w:rFonts w:ascii="Arial" w:hAnsi="Arial" w:cs="Arial"/>
        </w:rPr>
        <w:t>R</w:t>
      </w:r>
      <w:r w:rsidRPr="007E5623">
        <w:rPr>
          <w:rFonts w:ascii="Arial" w:hAnsi="Arial" w:cs="Arial"/>
        </w:rPr>
        <w:t>elativa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>.R</w:t>
      </w:r>
      <w:r w:rsidRPr="007E5623">
        <w:rPr>
          <w:rFonts w:ascii="Arial" w:hAnsi="Arial" w:cs="Arial"/>
        </w:rPr>
        <w:t xml:space="preserve">egistro e </w:t>
      </w:r>
      <w:r>
        <w:rPr>
          <w:rFonts w:ascii="Arial" w:hAnsi="Arial" w:cs="Arial"/>
        </w:rPr>
        <w:t>I</w:t>
      </w:r>
      <w:r w:rsidRPr="007E5623">
        <w:rPr>
          <w:rFonts w:ascii="Arial" w:hAnsi="Arial" w:cs="Arial"/>
        </w:rPr>
        <w:t xml:space="preserve">ntegración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resupuestaria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>.C</w:t>
      </w:r>
      <w:r w:rsidRPr="007E5623">
        <w:rPr>
          <w:rFonts w:ascii="Arial" w:hAnsi="Arial" w:cs="Arial"/>
        </w:rPr>
        <w:t xml:space="preserve">onsolidación de la </w:t>
      </w:r>
      <w:r>
        <w:rPr>
          <w:rFonts w:ascii="Arial" w:hAnsi="Arial" w:cs="Arial"/>
        </w:rPr>
        <w:t>I</w:t>
      </w:r>
      <w:r w:rsidRPr="007E5623">
        <w:rPr>
          <w:rFonts w:ascii="Arial" w:hAnsi="Arial" w:cs="Arial"/>
        </w:rPr>
        <w:t xml:space="preserve">nformación </w:t>
      </w:r>
      <w:r>
        <w:rPr>
          <w:rFonts w:ascii="Arial" w:hAnsi="Arial" w:cs="Arial"/>
        </w:rPr>
        <w:t>F</w:t>
      </w:r>
      <w:r w:rsidRPr="007E5623">
        <w:rPr>
          <w:rFonts w:ascii="Arial" w:hAnsi="Arial" w:cs="Arial"/>
        </w:rPr>
        <w:t>inanciera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.D</w:t>
      </w:r>
      <w:r w:rsidRPr="007E5623">
        <w:rPr>
          <w:rFonts w:ascii="Arial" w:hAnsi="Arial" w:cs="Arial"/>
        </w:rPr>
        <w:t xml:space="preserve">evengo </w:t>
      </w:r>
      <w:r>
        <w:rPr>
          <w:rFonts w:ascii="Arial" w:hAnsi="Arial" w:cs="Arial"/>
        </w:rPr>
        <w:t>C</w:t>
      </w:r>
      <w:r w:rsidRPr="007E5623">
        <w:rPr>
          <w:rFonts w:ascii="Arial" w:hAnsi="Arial" w:cs="Arial"/>
        </w:rPr>
        <w:t>ontable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9</w:t>
      </w:r>
      <w:r>
        <w:rPr>
          <w:rFonts w:ascii="Arial" w:hAnsi="Arial" w:cs="Arial"/>
        </w:rPr>
        <w:t>.V</w:t>
      </w:r>
      <w:r w:rsidRPr="007E5623">
        <w:rPr>
          <w:rFonts w:ascii="Arial" w:hAnsi="Arial" w:cs="Arial"/>
        </w:rPr>
        <w:t>aluación 10</w:t>
      </w:r>
      <w:r>
        <w:rPr>
          <w:rFonts w:ascii="Arial" w:hAnsi="Arial" w:cs="Arial"/>
        </w:rPr>
        <w:t>.Dualidad E</w:t>
      </w:r>
      <w:r w:rsidRPr="007E5623">
        <w:rPr>
          <w:rFonts w:ascii="Arial" w:hAnsi="Arial" w:cs="Arial"/>
        </w:rPr>
        <w:t>conómica y 11</w:t>
      </w:r>
      <w:r>
        <w:rPr>
          <w:rFonts w:ascii="Arial" w:hAnsi="Arial" w:cs="Arial"/>
        </w:rPr>
        <w:t>.C</w:t>
      </w:r>
      <w:r w:rsidRPr="007E5623">
        <w:rPr>
          <w:rFonts w:ascii="Arial" w:hAnsi="Arial" w:cs="Arial"/>
        </w:rPr>
        <w:t>onsistencia</w:t>
      </w:r>
      <w:r>
        <w:rPr>
          <w:rFonts w:ascii="Arial" w:hAnsi="Arial" w:cs="Arial"/>
        </w:rPr>
        <w:t>.</w:t>
      </w:r>
    </w:p>
    <w:p w14:paraId="05D31DB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278C9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23401C">
        <w:rPr>
          <w:rFonts w:ascii="Arial" w:hAnsi="Arial" w:cs="Arial"/>
        </w:rPr>
        <w:t>Normatividad supletoria</w:t>
      </w:r>
      <w:r>
        <w:rPr>
          <w:rFonts w:ascii="Arial" w:hAnsi="Arial" w:cs="Arial"/>
        </w:rPr>
        <w:t>.</w:t>
      </w:r>
      <w:r w:rsidRPr="00234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23401C">
        <w:rPr>
          <w:rFonts w:ascii="Arial" w:hAnsi="Arial" w:cs="Arial"/>
        </w:rPr>
        <w:t xml:space="preserve">n caso de emplear varios grupos de normatividades </w:t>
      </w:r>
      <w:r>
        <w:rPr>
          <w:rFonts w:ascii="Arial" w:hAnsi="Arial" w:cs="Arial"/>
        </w:rPr>
        <w:t>(</w:t>
      </w:r>
      <w:r w:rsidRPr="0023401C">
        <w:rPr>
          <w:rFonts w:ascii="Arial" w:hAnsi="Arial" w:cs="Arial"/>
        </w:rPr>
        <w:t>normatividades supletorias</w:t>
      </w:r>
      <w:r>
        <w:rPr>
          <w:rFonts w:ascii="Arial" w:hAnsi="Arial" w:cs="Arial"/>
        </w:rPr>
        <w:t xml:space="preserve">), </w:t>
      </w:r>
      <w:r w:rsidRPr="0023401C">
        <w:rPr>
          <w:rFonts w:ascii="Arial" w:hAnsi="Arial" w:cs="Arial"/>
        </w:rPr>
        <w:t>deberá realizar la justificación razonable correspondiente</w:t>
      </w:r>
      <w:r>
        <w:rPr>
          <w:rFonts w:ascii="Arial" w:hAnsi="Arial" w:cs="Arial"/>
        </w:rPr>
        <w:t>,</w:t>
      </w:r>
      <w:r w:rsidRPr="0023401C">
        <w:rPr>
          <w:rFonts w:ascii="Arial" w:hAnsi="Arial" w:cs="Arial"/>
        </w:rPr>
        <w:t xml:space="preserve"> son su alineación por P</w:t>
      </w:r>
      <w:r>
        <w:rPr>
          <w:rFonts w:ascii="Arial" w:hAnsi="Arial" w:cs="Arial"/>
        </w:rPr>
        <w:t>B</w:t>
      </w:r>
      <w:r w:rsidRPr="0023401C">
        <w:rPr>
          <w:rFonts w:ascii="Arial" w:hAnsi="Arial" w:cs="Arial"/>
        </w:rPr>
        <w:t>CG y</w:t>
      </w:r>
      <w:r>
        <w:rPr>
          <w:rFonts w:ascii="Arial" w:hAnsi="Arial" w:cs="Arial"/>
        </w:rPr>
        <w:t xml:space="preserve"> a</w:t>
      </w:r>
      <w:r w:rsidRPr="0023401C">
        <w:rPr>
          <w:rFonts w:ascii="Arial" w:hAnsi="Arial" w:cs="Arial"/>
        </w:rPr>
        <w:t xml:space="preserve"> las características cualitativas asociadas descritas</w:t>
      </w:r>
      <w:r>
        <w:rPr>
          <w:rFonts w:ascii="Arial" w:hAnsi="Arial" w:cs="Arial"/>
        </w:rPr>
        <w:t xml:space="preserve"> en el</w:t>
      </w:r>
      <w:r w:rsidRPr="0023401C">
        <w:rPr>
          <w:rFonts w:ascii="Arial" w:hAnsi="Arial" w:cs="Arial"/>
        </w:rPr>
        <w:t xml:space="preserve"> MCCG </w:t>
      </w:r>
      <w:r>
        <w:rPr>
          <w:rFonts w:ascii="Arial" w:hAnsi="Arial" w:cs="Arial"/>
        </w:rPr>
        <w:t>(</w:t>
      </w:r>
      <w:r w:rsidRPr="0023401C">
        <w:rPr>
          <w:rFonts w:ascii="Arial" w:hAnsi="Arial" w:cs="Arial"/>
        </w:rPr>
        <w:t xml:space="preserve">documentos publicados por el </w:t>
      </w:r>
      <w:r>
        <w:rPr>
          <w:rFonts w:ascii="Arial" w:hAnsi="Arial" w:cs="Arial"/>
        </w:rPr>
        <w:t>D</w:t>
      </w:r>
      <w:r w:rsidRPr="0023401C">
        <w:rPr>
          <w:rFonts w:ascii="Arial" w:hAnsi="Arial" w:cs="Arial"/>
        </w:rPr>
        <w:t xml:space="preserve">iario </w:t>
      </w:r>
      <w:r>
        <w:rPr>
          <w:rFonts w:ascii="Arial" w:hAnsi="Arial" w:cs="Arial"/>
        </w:rPr>
        <w:t>O</w:t>
      </w:r>
      <w:r w:rsidRPr="0023401C">
        <w:rPr>
          <w:rFonts w:ascii="Arial" w:hAnsi="Arial" w:cs="Arial"/>
        </w:rPr>
        <w:t>ficial de la federación agosto 2009</w:t>
      </w:r>
      <w:r>
        <w:rPr>
          <w:rFonts w:ascii="Arial" w:hAnsi="Arial" w:cs="Arial"/>
        </w:rPr>
        <w:t>)</w:t>
      </w:r>
    </w:p>
    <w:p w14:paraId="7B4821B0" w14:textId="77777777" w:rsidR="00B74EF6" w:rsidRPr="004A7F7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4A7F75">
        <w:rPr>
          <w:rFonts w:ascii="Arial" w:hAnsi="Arial" w:cs="Arial"/>
          <w:u w:val="single"/>
        </w:rPr>
        <w:t>No se tiene normatividad supletoria</w:t>
      </w:r>
    </w:p>
    <w:p w14:paraId="194151A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9E733AF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Para las entidades que por primera vez están implementando </w:t>
      </w:r>
      <w:proofErr w:type="gramStart"/>
      <w:r w:rsidRPr="004A7F75">
        <w:rPr>
          <w:rFonts w:ascii="Arial" w:hAnsi="Arial" w:cs="Arial"/>
        </w:rPr>
        <w:t>la base</w:t>
      </w:r>
      <w:r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</w:rPr>
        <w:t>devengado</w:t>
      </w:r>
      <w:proofErr w:type="gramEnd"/>
      <w:r w:rsidRPr="004A7F75">
        <w:rPr>
          <w:rFonts w:ascii="Arial" w:hAnsi="Arial" w:cs="Arial"/>
        </w:rPr>
        <w:t xml:space="preserve"> de acuerdo a la </w:t>
      </w:r>
      <w:r>
        <w:rPr>
          <w:rFonts w:ascii="Arial" w:hAnsi="Arial" w:cs="Arial"/>
        </w:rPr>
        <w:t>L</w:t>
      </w:r>
      <w:r w:rsidRPr="004A7F75">
        <w:rPr>
          <w:rFonts w:ascii="Arial" w:hAnsi="Arial" w:cs="Arial"/>
        </w:rPr>
        <w:t xml:space="preserve">ey de </w:t>
      </w:r>
      <w:r>
        <w:rPr>
          <w:rFonts w:ascii="Arial" w:hAnsi="Arial" w:cs="Arial"/>
        </w:rPr>
        <w:t>C</w:t>
      </w:r>
      <w:r w:rsidRPr="004A7F75">
        <w:rPr>
          <w:rFonts w:ascii="Arial" w:hAnsi="Arial" w:cs="Arial"/>
        </w:rPr>
        <w:t>ontabilidad deberán</w:t>
      </w:r>
      <w:r>
        <w:rPr>
          <w:rFonts w:ascii="Arial" w:hAnsi="Arial" w:cs="Arial"/>
        </w:rPr>
        <w:t>:</w:t>
      </w:r>
    </w:p>
    <w:p w14:paraId="35B6B89C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*R</w:t>
      </w:r>
      <w:r w:rsidRPr="004A7F75">
        <w:rPr>
          <w:rFonts w:ascii="Arial" w:hAnsi="Arial" w:cs="Arial"/>
        </w:rPr>
        <w:t>evelar las nuevas políticas de reconocimiento</w:t>
      </w:r>
      <w:r>
        <w:rPr>
          <w:rFonts w:ascii="Arial" w:hAnsi="Arial" w:cs="Arial"/>
        </w:rPr>
        <w:t>:</w:t>
      </w:r>
    </w:p>
    <w:p w14:paraId="3DD51236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  <w:u w:val="single"/>
        </w:rPr>
        <w:t xml:space="preserve">No </w:t>
      </w:r>
      <w:r>
        <w:rPr>
          <w:rFonts w:ascii="Arial" w:hAnsi="Arial" w:cs="Arial"/>
          <w:u w:val="single"/>
        </w:rPr>
        <w:t>a</w:t>
      </w:r>
      <w:r w:rsidRPr="004A7F75">
        <w:rPr>
          <w:rFonts w:ascii="Arial" w:hAnsi="Arial" w:cs="Arial"/>
          <w:u w:val="single"/>
        </w:rPr>
        <w:t>plica</w:t>
      </w:r>
      <w:r w:rsidRPr="004A7F75">
        <w:rPr>
          <w:rFonts w:ascii="Arial" w:hAnsi="Arial" w:cs="Arial"/>
        </w:rPr>
        <w:t xml:space="preserve"> </w:t>
      </w:r>
    </w:p>
    <w:p w14:paraId="32287DC8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*P</w:t>
      </w:r>
      <w:r w:rsidRPr="004A7F75">
        <w:rPr>
          <w:rFonts w:ascii="Arial" w:hAnsi="Arial" w:cs="Arial"/>
        </w:rPr>
        <w:t>lan de implementación</w:t>
      </w:r>
    </w:p>
    <w:p w14:paraId="566E252A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  <w:u w:val="single"/>
        </w:rPr>
        <w:t>No aplica</w:t>
      </w:r>
      <w:r w:rsidRPr="004A7F75">
        <w:rPr>
          <w:rFonts w:ascii="Arial" w:hAnsi="Arial" w:cs="Arial"/>
        </w:rPr>
        <w:t xml:space="preserve"> </w:t>
      </w:r>
    </w:p>
    <w:p w14:paraId="5A94AF59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*R</w:t>
      </w:r>
      <w:r w:rsidRPr="004A7F75">
        <w:rPr>
          <w:rFonts w:ascii="Arial" w:hAnsi="Arial" w:cs="Arial"/>
        </w:rPr>
        <w:t xml:space="preserve">evelar los cambios en las políticas la clasificación y medición de las </w:t>
      </w:r>
      <w:proofErr w:type="gramStart"/>
      <w:r w:rsidRPr="004A7F75">
        <w:rPr>
          <w:rFonts w:ascii="Arial" w:hAnsi="Arial" w:cs="Arial"/>
        </w:rPr>
        <w:t>mismas</w:t>
      </w:r>
      <w:proofErr w:type="gramEnd"/>
      <w:r w:rsidRPr="004A7F75">
        <w:rPr>
          <w:rFonts w:ascii="Arial" w:hAnsi="Arial" w:cs="Arial"/>
        </w:rPr>
        <w:t xml:space="preserve"> así como su impacto en la información financiera</w:t>
      </w:r>
      <w:r>
        <w:rPr>
          <w:rFonts w:ascii="Arial" w:hAnsi="Arial" w:cs="Arial"/>
        </w:rPr>
        <w:t>.</w:t>
      </w:r>
    </w:p>
    <w:p w14:paraId="1517C32D" w14:textId="77777777" w:rsidR="00B74EF6" w:rsidRPr="004A7F7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4A7F75">
        <w:rPr>
          <w:rFonts w:ascii="Arial" w:hAnsi="Arial" w:cs="Arial"/>
          <w:u w:val="single"/>
        </w:rPr>
        <w:t>No aplica</w:t>
      </w:r>
    </w:p>
    <w:p w14:paraId="4BA740A8" w14:textId="77777777" w:rsidR="00B74EF6" w:rsidRPr="00E1742A" w:rsidRDefault="00B74EF6" w:rsidP="00B74EF6">
      <w:pPr>
        <w:pStyle w:val="Prrafodelista"/>
        <w:jc w:val="both"/>
        <w:rPr>
          <w:rFonts w:ascii="Arial" w:hAnsi="Arial" w:cs="Arial"/>
          <w:b/>
          <w:bCs/>
        </w:rPr>
      </w:pPr>
    </w:p>
    <w:p w14:paraId="6A68466B" w14:textId="77777777" w:rsidR="00B74EF6" w:rsidRPr="00E1742A" w:rsidRDefault="00B74EF6" w:rsidP="00B74EF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E1742A">
        <w:rPr>
          <w:rFonts w:ascii="Arial" w:hAnsi="Arial" w:cs="Arial"/>
          <w:b/>
          <w:bCs/>
        </w:rPr>
        <w:t xml:space="preserve">Políticas de contabilidad significativas </w:t>
      </w:r>
    </w:p>
    <w:p w14:paraId="3D626B7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03C159A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B97F4BE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Actualización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se informará del método utilizado para la actualización del valor de los activos pasivos y hacienda pública y</w:t>
      </w:r>
      <w:r>
        <w:rPr>
          <w:rFonts w:ascii="Arial" w:hAnsi="Arial" w:cs="Arial"/>
        </w:rPr>
        <w:t>/</w:t>
      </w:r>
      <w:r w:rsidRPr="007E5623">
        <w:rPr>
          <w:rFonts w:ascii="Arial" w:hAnsi="Arial" w:cs="Arial"/>
        </w:rPr>
        <w:t xml:space="preserve">o patrimonio de las razones de dicha </w:t>
      </w:r>
      <w:proofErr w:type="gramStart"/>
      <w:r w:rsidRPr="007E5623">
        <w:rPr>
          <w:rFonts w:ascii="Arial" w:hAnsi="Arial" w:cs="Arial"/>
        </w:rPr>
        <w:t>elección</w:t>
      </w:r>
      <w:proofErr w:type="gramEnd"/>
      <w:r w:rsidRPr="007E5623">
        <w:rPr>
          <w:rFonts w:ascii="Arial" w:hAnsi="Arial" w:cs="Arial"/>
        </w:rPr>
        <w:t xml:space="preserve"> así como informar la desconexión 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reconexión inflacionaria</w:t>
      </w:r>
      <w:r>
        <w:rPr>
          <w:rFonts w:ascii="Arial" w:hAnsi="Arial" w:cs="Arial"/>
        </w:rPr>
        <w:t>:</w:t>
      </w:r>
    </w:p>
    <w:p w14:paraId="7F94D78A" w14:textId="77777777" w:rsidR="00B74EF6" w:rsidRPr="005240C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La actualización de activos en bienes muebles e inmuebles utiliza el método de depreciación en línea recta para los demás activos pasivos y patrimonio no se ha realizado ninguna actualización de sus valores.</w:t>
      </w:r>
    </w:p>
    <w:p w14:paraId="0C1DC40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CF5A31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Beneficios a empleados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revelar el cálculo de la reserva actuarial valor presente de los ingresos esperados </w:t>
      </w:r>
      <w:r>
        <w:rPr>
          <w:rFonts w:ascii="Arial" w:hAnsi="Arial" w:cs="Arial"/>
        </w:rPr>
        <w:t>c</w:t>
      </w:r>
      <w:r w:rsidRPr="007E5623">
        <w:rPr>
          <w:rFonts w:ascii="Arial" w:hAnsi="Arial" w:cs="Arial"/>
        </w:rPr>
        <w:t>omparado con el valor presente de la estimación de gastos tanto de los beneficiarios actuales como futuros</w:t>
      </w:r>
      <w:r>
        <w:rPr>
          <w:rFonts w:ascii="Arial" w:hAnsi="Arial" w:cs="Arial"/>
        </w:rPr>
        <w:t>:</w:t>
      </w:r>
    </w:p>
    <w:p w14:paraId="267EC129" w14:textId="0F9A46FF" w:rsidR="00B74EF6" w:rsidRPr="005240C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 xml:space="preserve">Durante </w:t>
      </w:r>
      <w:r w:rsidR="005C521D">
        <w:rPr>
          <w:rFonts w:ascii="Arial" w:hAnsi="Arial" w:cs="Arial"/>
          <w:u w:val="single"/>
        </w:rPr>
        <w:t xml:space="preserve">el </w:t>
      </w:r>
      <w:r w:rsidR="005C41E0">
        <w:rPr>
          <w:rFonts w:ascii="Arial" w:hAnsi="Arial" w:cs="Arial"/>
          <w:u w:val="single"/>
        </w:rPr>
        <w:t>Primer Trimestre</w:t>
      </w:r>
      <w:r w:rsidR="005C521D">
        <w:rPr>
          <w:rFonts w:ascii="Arial" w:hAnsi="Arial" w:cs="Arial"/>
          <w:u w:val="single"/>
        </w:rPr>
        <w:t xml:space="preserve"> 202</w:t>
      </w:r>
      <w:r w:rsidR="005C41E0">
        <w:rPr>
          <w:rFonts w:ascii="Arial" w:hAnsi="Arial" w:cs="Arial"/>
          <w:u w:val="single"/>
        </w:rPr>
        <w:t>4</w:t>
      </w:r>
      <w:r w:rsidR="005C521D" w:rsidRPr="006115D9">
        <w:rPr>
          <w:rFonts w:ascii="Arial" w:hAnsi="Arial" w:cs="Arial"/>
          <w:u w:val="single"/>
        </w:rPr>
        <w:t xml:space="preserve"> </w:t>
      </w:r>
      <w:r w:rsidRPr="005240C9">
        <w:rPr>
          <w:rFonts w:ascii="Arial" w:hAnsi="Arial" w:cs="Arial"/>
          <w:u w:val="single"/>
        </w:rPr>
        <w:t>no hubo beneficios a empleados por ingresos obtenidos y los gastos realizados</w:t>
      </w:r>
    </w:p>
    <w:p w14:paraId="67C51C0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D14C74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Provisiones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objet</w:t>
      </w:r>
      <w:r>
        <w:rPr>
          <w:rFonts w:ascii="Arial" w:hAnsi="Arial" w:cs="Arial"/>
        </w:rPr>
        <w:t>ivo</w:t>
      </w:r>
      <w:r w:rsidRPr="007E5623">
        <w:rPr>
          <w:rFonts w:ascii="Arial" w:hAnsi="Arial" w:cs="Arial"/>
        </w:rPr>
        <w:t xml:space="preserve"> de su creación monto y plazo</w:t>
      </w:r>
      <w:r>
        <w:rPr>
          <w:rFonts w:ascii="Arial" w:hAnsi="Arial" w:cs="Arial"/>
        </w:rPr>
        <w:t>:</w:t>
      </w:r>
    </w:p>
    <w:p w14:paraId="6B6EC70B" w14:textId="56AA6A59" w:rsidR="00B74EF6" w:rsidRPr="006115D9" w:rsidRDefault="004E537D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Durante el </w:t>
      </w:r>
      <w:r w:rsidR="005C41E0">
        <w:rPr>
          <w:rFonts w:ascii="Arial" w:hAnsi="Arial" w:cs="Arial"/>
          <w:u w:val="single"/>
        </w:rPr>
        <w:t>primer trimestre</w:t>
      </w:r>
      <w:r>
        <w:rPr>
          <w:rFonts w:ascii="Arial" w:hAnsi="Arial" w:cs="Arial"/>
          <w:u w:val="single"/>
        </w:rPr>
        <w:t xml:space="preserve"> 202</w:t>
      </w:r>
      <w:r w:rsidR="005C41E0">
        <w:rPr>
          <w:rFonts w:ascii="Arial" w:hAnsi="Arial" w:cs="Arial"/>
          <w:u w:val="single"/>
        </w:rPr>
        <w:t>4</w:t>
      </w:r>
      <w:r w:rsidR="00B74EF6" w:rsidRPr="006115D9">
        <w:rPr>
          <w:rFonts w:ascii="Arial" w:hAnsi="Arial" w:cs="Arial"/>
          <w:u w:val="single"/>
        </w:rPr>
        <w:t xml:space="preserve"> no se crearon ningún tipo de provisiones</w:t>
      </w:r>
    </w:p>
    <w:p w14:paraId="13D6E71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366BF4A9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Reservas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objeto de su creación monto y plazo</w:t>
      </w:r>
      <w:r>
        <w:rPr>
          <w:rFonts w:ascii="Arial" w:hAnsi="Arial" w:cs="Arial"/>
        </w:rPr>
        <w:t>:</w:t>
      </w:r>
    </w:p>
    <w:p w14:paraId="6695BDAD" w14:textId="7A293588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5C41E0">
        <w:rPr>
          <w:rFonts w:ascii="Arial" w:hAnsi="Arial" w:cs="Arial"/>
          <w:u w:val="single"/>
        </w:rPr>
        <w:t xml:space="preserve">primer </w:t>
      </w:r>
      <w:proofErr w:type="gramStart"/>
      <w:r w:rsidR="005C41E0">
        <w:rPr>
          <w:rFonts w:ascii="Arial" w:hAnsi="Arial" w:cs="Arial"/>
          <w:u w:val="single"/>
        </w:rPr>
        <w:t xml:space="preserve">trimestre </w:t>
      </w:r>
      <w:r w:rsidR="004E537D">
        <w:rPr>
          <w:rFonts w:ascii="Arial" w:hAnsi="Arial" w:cs="Arial"/>
          <w:u w:val="single"/>
        </w:rPr>
        <w:t xml:space="preserve"> 202</w:t>
      </w:r>
      <w:r w:rsidR="005C41E0">
        <w:rPr>
          <w:rFonts w:ascii="Arial" w:hAnsi="Arial" w:cs="Arial"/>
          <w:u w:val="single"/>
        </w:rPr>
        <w:t>4</w:t>
      </w:r>
      <w:proofErr w:type="gramEnd"/>
      <w:r w:rsidR="005C41E0">
        <w:rPr>
          <w:rFonts w:ascii="Arial" w:hAnsi="Arial" w:cs="Arial"/>
          <w:u w:val="single"/>
        </w:rPr>
        <w:t xml:space="preserve"> </w:t>
      </w:r>
      <w:r w:rsidRPr="006115D9">
        <w:rPr>
          <w:rFonts w:ascii="Arial" w:hAnsi="Arial" w:cs="Arial"/>
          <w:u w:val="single"/>
        </w:rPr>
        <w:t>no se crearon ningún tipo de reservas</w:t>
      </w:r>
    </w:p>
    <w:p w14:paraId="199A7E3A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6E92B85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Cambios en políticas contables y corrección de errores junto a la revelación de los efectos que se tendrá e</w:t>
      </w:r>
      <w:r>
        <w:rPr>
          <w:rFonts w:ascii="Arial" w:hAnsi="Arial" w:cs="Arial"/>
        </w:rPr>
        <w:t xml:space="preserve">n </w:t>
      </w:r>
      <w:r w:rsidRPr="007E5623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 xml:space="preserve"> información financiera del ente público ya sea retrospectivos 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prospectivos</w:t>
      </w:r>
      <w:r>
        <w:rPr>
          <w:rFonts w:ascii="Arial" w:hAnsi="Arial" w:cs="Arial"/>
        </w:rPr>
        <w:t>.</w:t>
      </w:r>
    </w:p>
    <w:p w14:paraId="4A376CDA" w14:textId="22220880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proofErr w:type="gramStart"/>
      <w:r w:rsidR="004E537D">
        <w:rPr>
          <w:rFonts w:ascii="Arial" w:hAnsi="Arial" w:cs="Arial"/>
          <w:u w:val="single"/>
        </w:rPr>
        <w:t xml:space="preserve">el  </w:t>
      </w:r>
      <w:r w:rsidR="005C41E0">
        <w:rPr>
          <w:rFonts w:ascii="Arial" w:hAnsi="Arial" w:cs="Arial"/>
          <w:u w:val="single"/>
        </w:rPr>
        <w:t>primer</w:t>
      </w:r>
      <w:proofErr w:type="gramEnd"/>
      <w:r w:rsidR="005C41E0">
        <w:rPr>
          <w:rFonts w:ascii="Arial" w:hAnsi="Arial" w:cs="Arial"/>
          <w:u w:val="single"/>
        </w:rPr>
        <w:t xml:space="preserve"> trimestre</w:t>
      </w:r>
      <w:r w:rsidR="004E537D">
        <w:rPr>
          <w:rFonts w:ascii="Arial" w:hAnsi="Arial" w:cs="Arial"/>
          <w:u w:val="single"/>
        </w:rPr>
        <w:t xml:space="preserve"> 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6115D9">
        <w:rPr>
          <w:rFonts w:ascii="Arial" w:hAnsi="Arial" w:cs="Arial"/>
          <w:u w:val="single"/>
        </w:rPr>
        <w:t>no hubo cambios en las políticas contables</w:t>
      </w:r>
    </w:p>
    <w:p w14:paraId="4B57B16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E3C82F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Reclasificaciones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deben revelar todos aquellos movimientos entre cuentas por efectos de cambios en los tipos de operaciones</w:t>
      </w:r>
    </w:p>
    <w:p w14:paraId="72794ECA" w14:textId="4DC33479" w:rsidR="00B74EF6" w:rsidRPr="006115D9" w:rsidRDefault="004E537D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Durante el primer </w:t>
      </w:r>
      <w:r w:rsidR="005C41E0">
        <w:rPr>
          <w:rFonts w:ascii="Arial" w:hAnsi="Arial" w:cs="Arial"/>
          <w:u w:val="single"/>
        </w:rPr>
        <w:t>trimestre</w:t>
      </w:r>
      <w:r>
        <w:rPr>
          <w:rFonts w:ascii="Arial" w:hAnsi="Arial" w:cs="Arial"/>
          <w:u w:val="single"/>
        </w:rPr>
        <w:t xml:space="preserve"> </w:t>
      </w:r>
      <w:proofErr w:type="gramStart"/>
      <w:r>
        <w:rPr>
          <w:rFonts w:ascii="Arial" w:hAnsi="Arial" w:cs="Arial"/>
          <w:u w:val="single"/>
        </w:rPr>
        <w:t>202</w:t>
      </w:r>
      <w:r w:rsidR="005C41E0">
        <w:rPr>
          <w:rFonts w:ascii="Arial" w:hAnsi="Arial" w:cs="Arial"/>
          <w:u w:val="single"/>
        </w:rPr>
        <w:t>4</w:t>
      </w:r>
      <w:r w:rsidRPr="006115D9">
        <w:rPr>
          <w:rFonts w:ascii="Arial" w:hAnsi="Arial" w:cs="Arial"/>
          <w:u w:val="single"/>
        </w:rPr>
        <w:t xml:space="preserve"> </w:t>
      </w:r>
      <w:r w:rsidR="00B74EF6" w:rsidRPr="006115D9">
        <w:rPr>
          <w:rFonts w:ascii="Arial" w:hAnsi="Arial" w:cs="Arial"/>
          <w:u w:val="single"/>
        </w:rPr>
        <w:t xml:space="preserve"> no</w:t>
      </w:r>
      <w:proofErr w:type="gramEnd"/>
      <w:r w:rsidR="00B74EF6" w:rsidRPr="006115D9">
        <w:rPr>
          <w:rFonts w:ascii="Arial" w:hAnsi="Arial" w:cs="Arial"/>
          <w:u w:val="single"/>
        </w:rPr>
        <w:t xml:space="preserve"> hubo reclasificaciones entre cuentas por efecto de cambios en tipos de operaciones</w:t>
      </w:r>
    </w:p>
    <w:p w14:paraId="32D08E6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5F3B201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Depuración y cancelación de saldos</w:t>
      </w:r>
      <w:r>
        <w:rPr>
          <w:rFonts w:ascii="Arial" w:hAnsi="Arial" w:cs="Arial"/>
        </w:rPr>
        <w:t>:</w:t>
      </w:r>
    </w:p>
    <w:p w14:paraId="710086C2" w14:textId="454397F2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5C41E0">
        <w:rPr>
          <w:rFonts w:ascii="Arial" w:hAnsi="Arial" w:cs="Arial"/>
          <w:u w:val="single"/>
        </w:rPr>
        <w:t>primer trimestre</w:t>
      </w:r>
      <w:r w:rsidR="004E537D">
        <w:rPr>
          <w:rFonts w:ascii="Arial" w:hAnsi="Arial" w:cs="Arial"/>
          <w:u w:val="single"/>
        </w:rPr>
        <w:t xml:space="preserve"> 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6115D9">
        <w:rPr>
          <w:rFonts w:ascii="Arial" w:hAnsi="Arial" w:cs="Arial"/>
          <w:u w:val="single"/>
        </w:rPr>
        <w:t>no se realizaron depuraciones o cancelaciones de saldos</w:t>
      </w:r>
      <w:r>
        <w:rPr>
          <w:rFonts w:ascii="Arial" w:hAnsi="Arial" w:cs="Arial"/>
          <w:u w:val="single"/>
        </w:rPr>
        <w:t>.</w:t>
      </w:r>
    </w:p>
    <w:p w14:paraId="3C3EBBBC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DB4ED7E" w14:textId="77777777" w:rsidR="00B74EF6" w:rsidRPr="006115D9" w:rsidRDefault="00B74EF6" w:rsidP="00B74EF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6115D9">
        <w:rPr>
          <w:rFonts w:ascii="Arial" w:hAnsi="Arial" w:cs="Arial"/>
          <w:b/>
          <w:bCs/>
        </w:rPr>
        <w:t>Posiciones moneda extranjera y protección de riesgo cambiario</w:t>
      </w:r>
    </w:p>
    <w:p w14:paraId="3107DE94" w14:textId="77777777" w:rsidR="00B74EF6" w:rsidRPr="006115D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No aplica</w:t>
      </w:r>
    </w:p>
    <w:p w14:paraId="15F2AB82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9AA689B" w14:textId="77777777" w:rsidR="00B74EF6" w:rsidRPr="006115D9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6115D9">
        <w:rPr>
          <w:rFonts w:ascii="Arial" w:hAnsi="Arial" w:cs="Arial"/>
          <w:b/>
          <w:bCs/>
        </w:rPr>
        <w:t xml:space="preserve">Reporte Analítico del Activo </w:t>
      </w:r>
    </w:p>
    <w:p w14:paraId="397BB5A3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E5623">
        <w:rPr>
          <w:rFonts w:ascii="Arial" w:hAnsi="Arial" w:cs="Arial"/>
        </w:rPr>
        <w:t>ebe Mostrar la siguiente información</w:t>
      </w:r>
      <w:r>
        <w:rPr>
          <w:rFonts w:ascii="Arial" w:hAnsi="Arial" w:cs="Arial"/>
        </w:rPr>
        <w:t>:</w:t>
      </w:r>
    </w:p>
    <w:p w14:paraId="59F3F1F3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E95D8E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Vida útil o porcentajes de depreciación deterioro o amortización utilizados en los diferentes tipos de activos</w:t>
      </w:r>
      <w:r>
        <w:rPr>
          <w:rFonts w:ascii="Arial" w:hAnsi="Arial" w:cs="Arial"/>
        </w:rPr>
        <w:t>:</w:t>
      </w:r>
    </w:p>
    <w:p w14:paraId="55AF301F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Los bienes inmuebles y muebles se deprecian en línea recta utilizando los diferentes porcentajes de depreciación</w:t>
      </w:r>
      <w:r>
        <w:rPr>
          <w:rFonts w:ascii="Arial" w:hAnsi="Arial" w:cs="Arial"/>
          <w:u w:val="single"/>
        </w:rPr>
        <w:t xml:space="preserve">, 5% edificios, </w:t>
      </w:r>
      <w:r w:rsidRPr="006115D9">
        <w:rPr>
          <w:rFonts w:ascii="Arial" w:hAnsi="Arial" w:cs="Arial"/>
          <w:u w:val="single"/>
        </w:rPr>
        <w:t>10% mobiliario y equipo</w:t>
      </w:r>
      <w:r>
        <w:rPr>
          <w:rFonts w:ascii="Arial" w:hAnsi="Arial" w:cs="Arial"/>
          <w:u w:val="single"/>
        </w:rPr>
        <w:t>,</w:t>
      </w:r>
      <w:r w:rsidRPr="006115D9">
        <w:rPr>
          <w:rFonts w:ascii="Arial" w:hAnsi="Arial" w:cs="Arial"/>
          <w:u w:val="single"/>
        </w:rPr>
        <w:t xml:space="preserve"> 25% vehículos y equipo de transporte</w:t>
      </w:r>
      <w:r>
        <w:rPr>
          <w:rFonts w:ascii="Arial" w:hAnsi="Arial" w:cs="Arial"/>
          <w:u w:val="single"/>
        </w:rPr>
        <w:t>,</w:t>
      </w:r>
      <w:r w:rsidRPr="006115D9">
        <w:rPr>
          <w:rFonts w:ascii="Arial" w:hAnsi="Arial" w:cs="Arial"/>
          <w:u w:val="single"/>
        </w:rPr>
        <w:t xml:space="preserve"> 30% equipo de cómputo y 35% para maquinaria y herramientas</w:t>
      </w:r>
    </w:p>
    <w:p w14:paraId="3CD5E83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53A1603" w14:textId="0615D1F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Cambios en el porcentaje de depreciación o valor residual de los activos durante </w:t>
      </w:r>
      <w:proofErr w:type="gramStart"/>
      <w:r w:rsidRPr="007E5623">
        <w:rPr>
          <w:rFonts w:ascii="Arial" w:hAnsi="Arial" w:cs="Arial"/>
        </w:rPr>
        <w:t xml:space="preserve">el </w:t>
      </w:r>
      <w:r w:rsidR="004E537D">
        <w:rPr>
          <w:rFonts w:ascii="Arial" w:hAnsi="Arial" w:cs="Arial"/>
          <w:u w:val="single"/>
        </w:rPr>
        <w:t xml:space="preserve"> </w:t>
      </w:r>
      <w:r w:rsidR="005C41E0">
        <w:rPr>
          <w:rFonts w:ascii="Arial" w:hAnsi="Arial" w:cs="Arial"/>
          <w:u w:val="single"/>
        </w:rPr>
        <w:t>primer</w:t>
      </w:r>
      <w:proofErr w:type="gramEnd"/>
      <w:r w:rsidR="005C41E0">
        <w:rPr>
          <w:rFonts w:ascii="Arial" w:hAnsi="Arial" w:cs="Arial"/>
          <w:u w:val="single"/>
        </w:rPr>
        <w:t xml:space="preserve"> trimestre 2024</w:t>
      </w:r>
    </w:p>
    <w:p w14:paraId="506B6C59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No hubo cambios en el porcentaje de Depreciación</w:t>
      </w:r>
    </w:p>
    <w:p w14:paraId="4428648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CA572D9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Importe de los gastos capitalizados en el ejercicio tanto financieros como de investigación y desarrollo </w:t>
      </w:r>
    </w:p>
    <w:p w14:paraId="5233C693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2755C3C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04482F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Riesgos por tipo de cambio tipo de interés en las intervenciones financieras </w:t>
      </w:r>
    </w:p>
    <w:p w14:paraId="7F61C147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6440C8C9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463BAF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Valor activad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en el ejercicio de los bienes construidos por la entidad</w:t>
      </w:r>
    </w:p>
    <w:p w14:paraId="21073C97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2DAC378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DC4676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Otras circunstancias de carácter significativo que afecten el A</w:t>
      </w:r>
      <w:r>
        <w:rPr>
          <w:rFonts w:ascii="Arial" w:hAnsi="Arial" w:cs="Arial"/>
        </w:rPr>
        <w:t>ctivo</w:t>
      </w:r>
      <w:r w:rsidRPr="007E5623">
        <w:rPr>
          <w:rFonts w:ascii="Arial" w:hAnsi="Arial" w:cs="Arial"/>
        </w:rPr>
        <w:t xml:space="preserve"> tales como bienes en garantía señalados en embargos litigios títulos de inversiones entregados </w:t>
      </w: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 xml:space="preserve">n garantías baja significativa de valor de inversiones financieras etcétera </w:t>
      </w:r>
    </w:p>
    <w:p w14:paraId="1787EAB8" w14:textId="244F5E68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5C41E0">
        <w:rPr>
          <w:rFonts w:ascii="Arial" w:hAnsi="Arial" w:cs="Arial"/>
          <w:u w:val="single"/>
        </w:rPr>
        <w:t xml:space="preserve">primer trimestre </w:t>
      </w:r>
      <w:r w:rsidR="004E537D">
        <w:rPr>
          <w:rFonts w:ascii="Arial" w:hAnsi="Arial" w:cs="Arial"/>
          <w:u w:val="single"/>
        </w:rPr>
        <w:t>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5240C9">
        <w:rPr>
          <w:rFonts w:ascii="Arial" w:hAnsi="Arial" w:cs="Arial"/>
          <w:u w:val="single"/>
        </w:rPr>
        <w:t>no hubo circunstancias que afectarán el activo.</w:t>
      </w:r>
    </w:p>
    <w:p w14:paraId="5444641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EC1B37B" w14:textId="51D89415" w:rsidR="00B74EF6" w:rsidRPr="007E5623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Desmantelamiento de activos procedimientos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implicaciones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efectos contables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</w:t>
      </w:r>
      <w:r w:rsidRPr="005240C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primer </w:t>
      </w:r>
      <w:r w:rsidR="005C41E0">
        <w:rPr>
          <w:rFonts w:ascii="Arial" w:hAnsi="Arial" w:cs="Arial"/>
          <w:u w:val="single"/>
        </w:rPr>
        <w:t>trimestre</w:t>
      </w:r>
      <w:r w:rsidR="004E537D">
        <w:rPr>
          <w:rFonts w:ascii="Arial" w:hAnsi="Arial" w:cs="Arial"/>
          <w:u w:val="single"/>
        </w:rPr>
        <w:t xml:space="preserve"> 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5240C9">
        <w:rPr>
          <w:rFonts w:ascii="Arial" w:hAnsi="Arial" w:cs="Arial"/>
          <w:u w:val="single"/>
        </w:rPr>
        <w:t xml:space="preserve"> no hubo desmantelamiento de activos procedimientos implicaciones efectos contables</w:t>
      </w:r>
    </w:p>
    <w:p w14:paraId="480F54B1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30F06E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Administración de activos</w:t>
      </w:r>
      <w:r>
        <w:rPr>
          <w:rFonts w:ascii="Arial" w:hAnsi="Arial" w:cs="Arial"/>
        </w:rPr>
        <w:t>;</w:t>
      </w:r>
      <w:r w:rsidRPr="007E562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lane</w:t>
      </w:r>
      <w:r w:rsidRPr="007E5623">
        <w:rPr>
          <w:rFonts w:ascii="Arial" w:hAnsi="Arial" w:cs="Arial"/>
        </w:rPr>
        <w:t>ación con el objet</w:t>
      </w:r>
      <w:r>
        <w:rPr>
          <w:rFonts w:ascii="Arial" w:hAnsi="Arial" w:cs="Arial"/>
        </w:rPr>
        <w:t>ivo</w:t>
      </w:r>
      <w:r w:rsidRPr="007E5623">
        <w:rPr>
          <w:rFonts w:ascii="Arial" w:hAnsi="Arial" w:cs="Arial"/>
        </w:rPr>
        <w:t xml:space="preserve"> de que el ente los utilice de manera efectiva</w:t>
      </w:r>
      <w:r>
        <w:rPr>
          <w:rFonts w:ascii="Arial" w:hAnsi="Arial" w:cs="Arial"/>
        </w:rPr>
        <w:t>:</w:t>
      </w:r>
    </w:p>
    <w:p w14:paraId="6384758A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La administración de los Activos se lleva a cabo por parte de los responsables en cada área junto</w:t>
      </w:r>
      <w:r>
        <w:rPr>
          <w:rFonts w:ascii="Arial" w:hAnsi="Arial" w:cs="Arial"/>
          <w:u w:val="single"/>
        </w:rPr>
        <w:t>,</w:t>
      </w:r>
      <w:r w:rsidRPr="005240C9">
        <w:rPr>
          <w:rFonts w:ascii="Arial" w:hAnsi="Arial" w:cs="Arial"/>
          <w:u w:val="single"/>
        </w:rPr>
        <w:t xml:space="preserve"> a la contraloría interna informando siempre de su estado con el fin de ser utilizados de manera efectiva.</w:t>
      </w:r>
    </w:p>
    <w:p w14:paraId="6B9E173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AED318F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Fideicomisos mandatos y análogos:</w:t>
      </w:r>
    </w:p>
    <w:p w14:paraId="6893049A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lastRenderedPageBreak/>
        <w:t>Se deberá informar:</w:t>
      </w:r>
    </w:p>
    <w:p w14:paraId="6B2476F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r</w:t>
      </w:r>
      <w:r w:rsidRPr="007E5623">
        <w:rPr>
          <w:rFonts w:ascii="Arial" w:hAnsi="Arial" w:cs="Arial"/>
        </w:rPr>
        <w:t xml:space="preserve">amo </w:t>
      </w:r>
      <w:r>
        <w:rPr>
          <w:rFonts w:ascii="Arial" w:hAnsi="Arial" w:cs="Arial"/>
        </w:rPr>
        <w:t>ad</w:t>
      </w:r>
      <w:r w:rsidRPr="007E5623">
        <w:rPr>
          <w:rFonts w:ascii="Arial" w:hAnsi="Arial" w:cs="Arial"/>
        </w:rPr>
        <w:t xml:space="preserve">ministrativo que los reporta </w:t>
      </w:r>
    </w:p>
    <w:p w14:paraId="70F5A917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  <w:r w:rsidRPr="009935E6">
        <w:rPr>
          <w:rFonts w:ascii="Arial" w:hAnsi="Arial" w:cs="Arial"/>
          <w:u w:val="single"/>
        </w:rPr>
        <w:t>No aplica</w:t>
      </w:r>
      <w:r w:rsidRPr="007E5623">
        <w:rPr>
          <w:rFonts w:ascii="Arial" w:hAnsi="Arial" w:cs="Arial"/>
        </w:rPr>
        <w:t xml:space="preserve"> </w:t>
      </w:r>
    </w:p>
    <w:p w14:paraId="1B64C7D3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452B5D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>nlistar los de mayor monto de disponibilidad relacionando aquellos que se conforman el 80% de las disponibilidades</w:t>
      </w:r>
    </w:p>
    <w:p w14:paraId="741761FB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  <w:r w:rsidRPr="009935E6">
        <w:rPr>
          <w:rFonts w:ascii="Arial" w:hAnsi="Arial" w:cs="Arial"/>
          <w:u w:val="single"/>
        </w:rPr>
        <w:t>No aplica</w:t>
      </w:r>
    </w:p>
    <w:p w14:paraId="4016C8B4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51E783C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Reporte de la recaudación:</w:t>
      </w:r>
    </w:p>
    <w:p w14:paraId="3CF75D47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>nálisis del comportamiento de la recaudación correspondiente al ente público o cualquier tipo de ingreso de forma separada de los ingresos locales y de los federales</w:t>
      </w:r>
      <w:r>
        <w:rPr>
          <w:rFonts w:ascii="Arial" w:hAnsi="Arial" w:cs="Arial"/>
        </w:rPr>
        <w:t>:</w:t>
      </w:r>
    </w:p>
    <w:p w14:paraId="78C25192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Este organismo operador de agua obtiene ingresos municipales y estatales por el servicio de suministro de agua potable y son registrados en el sistema administrativo utilizado, no se tienen ingresos federales</w:t>
      </w:r>
    </w:p>
    <w:p w14:paraId="51C033A4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58A001B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Proyección de la recaudación e ingresos en el mediano plazo</w:t>
      </w:r>
      <w:r>
        <w:rPr>
          <w:rFonts w:ascii="Arial" w:hAnsi="Arial" w:cs="Arial"/>
        </w:rPr>
        <w:t>:</w:t>
      </w:r>
    </w:p>
    <w:p w14:paraId="2A32EA5F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Si, con base en el objetivo de cierre anual implementado estrategias de notificación y cortes a usuarios con rezago de más de dos períodos de deuda.</w:t>
      </w:r>
    </w:p>
    <w:p w14:paraId="7E55FAD3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3847952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</w:rPr>
      </w:pPr>
      <w:r w:rsidRPr="00777AA0">
        <w:rPr>
          <w:rFonts w:ascii="Arial" w:hAnsi="Arial" w:cs="Arial"/>
          <w:b/>
          <w:bCs/>
        </w:rPr>
        <w:t>Información sobre la Deuda y el Reporte Analítico de la Deuda</w:t>
      </w:r>
      <w:r>
        <w:rPr>
          <w:rFonts w:ascii="Arial" w:hAnsi="Arial" w:cs="Arial"/>
        </w:rPr>
        <w:t>:</w:t>
      </w:r>
      <w:r w:rsidRPr="00777AA0">
        <w:rPr>
          <w:rFonts w:ascii="Arial" w:hAnsi="Arial" w:cs="Arial"/>
        </w:rPr>
        <w:t xml:space="preserve"> </w:t>
      </w:r>
    </w:p>
    <w:p w14:paraId="4C2F249E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 xml:space="preserve">Se informará lo siguiente </w:t>
      </w:r>
    </w:p>
    <w:p w14:paraId="479C957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E5623">
        <w:rPr>
          <w:rFonts w:ascii="Arial" w:hAnsi="Arial" w:cs="Arial"/>
        </w:rPr>
        <w:t xml:space="preserve">tilizar al menos los siguientes indicadores de </w:t>
      </w:r>
      <w:r>
        <w:rPr>
          <w:rFonts w:ascii="Arial" w:hAnsi="Arial" w:cs="Arial"/>
        </w:rPr>
        <w:t>deu</w:t>
      </w:r>
      <w:r w:rsidRPr="007E5623">
        <w:rPr>
          <w:rFonts w:ascii="Arial" w:hAnsi="Arial" w:cs="Arial"/>
        </w:rPr>
        <w:t xml:space="preserve">da respecto al </w:t>
      </w:r>
      <w:r>
        <w:rPr>
          <w:rFonts w:ascii="Arial" w:hAnsi="Arial" w:cs="Arial"/>
        </w:rPr>
        <w:t>PIB</w:t>
      </w:r>
      <w:r w:rsidRPr="007E5623">
        <w:rPr>
          <w:rFonts w:ascii="Arial" w:hAnsi="Arial" w:cs="Arial"/>
        </w:rPr>
        <w:t xml:space="preserve"> y deuda respecto a la recaudación tomando como mínimo un período igual o menor a 5 años</w:t>
      </w:r>
      <w:r>
        <w:rPr>
          <w:rFonts w:ascii="Arial" w:hAnsi="Arial" w:cs="Arial"/>
        </w:rPr>
        <w:t>.</w:t>
      </w:r>
    </w:p>
    <w:p w14:paraId="5D1EEECA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No aplica</w:t>
      </w:r>
    </w:p>
    <w:p w14:paraId="66D6CC2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Información de manera agrupada por tipo de valor gubernamental o instrumento Financiero en la que se considera intereses comisiones tasa perfil de vencimiento y otros gastos de la deuda</w:t>
      </w:r>
      <w:r>
        <w:rPr>
          <w:rFonts w:ascii="Arial" w:hAnsi="Arial" w:cs="Arial"/>
        </w:rPr>
        <w:t>.</w:t>
      </w:r>
    </w:p>
    <w:p w14:paraId="5963CF16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No aplica</w:t>
      </w:r>
    </w:p>
    <w:p w14:paraId="650C58AE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704D8DC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Calificaciones otorgadas:</w:t>
      </w:r>
    </w:p>
    <w:p w14:paraId="60001862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Informar tanto del ente público como cualquier transacción realizada que haya sido sujeta a una calificación crediticia.</w:t>
      </w:r>
    </w:p>
    <w:p w14:paraId="7EB444BC" w14:textId="77777777" w:rsidR="00B74EF6" w:rsidRPr="00777AA0" w:rsidRDefault="00B74EF6" w:rsidP="00B74EF6">
      <w:pPr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  <w:u w:val="single"/>
        </w:rPr>
        <w:t>No aplica</w:t>
      </w:r>
    </w:p>
    <w:p w14:paraId="64BDD80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2158EEF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lastRenderedPageBreak/>
        <w:t>Proceso de mejora:</w:t>
      </w:r>
    </w:p>
    <w:p w14:paraId="70195378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Se informará de:</w:t>
      </w:r>
    </w:p>
    <w:p w14:paraId="16A40AF9" w14:textId="77777777" w:rsidR="00B74EF6" w:rsidRPr="00777AA0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Principales políticas de control interno:</w:t>
      </w:r>
    </w:p>
    <w:p w14:paraId="2E45A6FC" w14:textId="77777777" w:rsidR="00B74EF6" w:rsidRPr="00777AA0" w:rsidRDefault="00B74EF6" w:rsidP="00B74EF6">
      <w:pPr>
        <w:pStyle w:val="Prrafodelista"/>
        <w:jc w:val="both"/>
        <w:rPr>
          <w:rFonts w:ascii="Arial" w:hAnsi="Arial" w:cs="Arial"/>
        </w:rPr>
      </w:pPr>
      <w:r w:rsidRPr="00777AA0">
        <w:rPr>
          <w:rFonts w:ascii="Arial" w:hAnsi="Arial" w:cs="Arial"/>
          <w:u w:val="single"/>
        </w:rPr>
        <w:t>Las principales políticas son la evaluación de riesgos, las actividades de control, los sistemas de información, comunicación y seguimiento, están orientados a cumplir con el ordenamiento jurídico, técnico y administrativo, promover la eficiencia y eficacia de las operaciones de la entidad y garantizar la confiabilidad y oportunidad de la información, así como las medidas oportunas para corregir las deficiencias de control interno.</w:t>
      </w:r>
    </w:p>
    <w:p w14:paraId="4123D1B0" w14:textId="77777777" w:rsidR="00B74EF6" w:rsidRPr="00777AA0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</w:rPr>
        <w:t>Medidas de desempeño financiero metas y alcance:</w:t>
      </w:r>
    </w:p>
    <w:p w14:paraId="16301300" w14:textId="77777777" w:rsidR="00B74EF6" w:rsidRPr="00777AA0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  <w:u w:val="single"/>
        </w:rPr>
        <w:t xml:space="preserve">La contraloría interna efectúa el relevamiento y evaluación del sistema de control interno a fin de evaluar la efectividad del mismo en distintos ámbitos como lo son: </w:t>
      </w:r>
      <w:proofErr w:type="gramStart"/>
      <w:r w:rsidRPr="00777AA0">
        <w:rPr>
          <w:rFonts w:ascii="Arial" w:hAnsi="Arial" w:cs="Arial"/>
          <w:u w:val="single"/>
        </w:rPr>
        <w:t>a)La</w:t>
      </w:r>
      <w:proofErr w:type="gramEnd"/>
      <w:r w:rsidRPr="00777AA0">
        <w:rPr>
          <w:rFonts w:ascii="Arial" w:hAnsi="Arial" w:cs="Arial"/>
          <w:u w:val="single"/>
        </w:rPr>
        <w:t xml:space="preserve"> confiabilidad, integridad y oportunidad de la información, b) Cumplimiento de las disposiciones legales vigentes, c)Protección de los activos revisando los mecanismos de control, d)Uso eficiente y económico de los recursos y e)Logro objetivos y metas operacionales</w:t>
      </w:r>
    </w:p>
    <w:p w14:paraId="4D55941B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71FB6FC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</w:rPr>
      </w:pPr>
      <w:r w:rsidRPr="00777AA0">
        <w:rPr>
          <w:rFonts w:ascii="Arial" w:hAnsi="Arial" w:cs="Arial"/>
          <w:b/>
          <w:bCs/>
        </w:rPr>
        <w:t>Información de segmentos:</w:t>
      </w:r>
      <w:r w:rsidRPr="00777AA0">
        <w:rPr>
          <w:rFonts w:ascii="Arial" w:hAnsi="Arial" w:cs="Arial"/>
        </w:rPr>
        <w:t xml:space="preserve"> </w:t>
      </w:r>
    </w:p>
    <w:p w14:paraId="46BBBFF5" w14:textId="77777777" w:rsidR="00B74EF6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1742A">
        <w:rPr>
          <w:rFonts w:ascii="Arial" w:hAnsi="Arial" w:cs="Arial"/>
        </w:rPr>
        <w:t>uando se considera necesario se podrá revelar la información financiera de manera segmentada debido a la diversidad de las actividades y operaciones que realizan los entes públicos ya que de la misma proporción información acerca de las diferentes actividades operativas en las cuales participan de los productos o servicios que manejan de las diferentes áreas geográficas de los grupos homogéneos con el objetivo de entender el desempeño de lente evaluar mejor los riesgos y beneficios del mismo y entenderlo como un todo y sus partes integrantes</w:t>
      </w:r>
      <w:r>
        <w:rPr>
          <w:rFonts w:ascii="Arial" w:hAnsi="Arial" w:cs="Arial"/>
        </w:rPr>
        <w:t>.</w:t>
      </w:r>
    </w:p>
    <w:p w14:paraId="2BBFEEC0" w14:textId="77777777" w:rsidR="00B74EF6" w:rsidRDefault="00B74EF6" w:rsidP="00B74EF6">
      <w:pPr>
        <w:jc w:val="both"/>
        <w:rPr>
          <w:rFonts w:ascii="Arial" w:hAnsi="Arial" w:cs="Arial"/>
        </w:rPr>
      </w:pPr>
      <w:r w:rsidRPr="00E1742A">
        <w:rPr>
          <w:rFonts w:ascii="Arial" w:hAnsi="Arial" w:cs="Arial"/>
        </w:rPr>
        <w:t>Consecuentemente esta información contribuye al análisis más preciso de la situación financiera grados y fuentes de riesgo y crecimiento potencial del negocio</w:t>
      </w:r>
      <w:r>
        <w:rPr>
          <w:rFonts w:ascii="Arial" w:hAnsi="Arial" w:cs="Arial"/>
        </w:rPr>
        <w:t>.</w:t>
      </w:r>
    </w:p>
    <w:p w14:paraId="7D36FFEE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>No aplica</w:t>
      </w:r>
    </w:p>
    <w:p w14:paraId="420558E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230711B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Eventos Posteriores al Cierre:</w:t>
      </w:r>
    </w:p>
    <w:p w14:paraId="776FF4D1" w14:textId="77777777" w:rsidR="00B74EF6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1742A">
        <w:rPr>
          <w:rFonts w:ascii="Arial" w:hAnsi="Arial" w:cs="Arial"/>
        </w:rPr>
        <w:t>l ente público informará el efecto de los estados financieros de aquellos hechos ocurridos en el período posterior al que informa que proporcionan mayor evidencia sobre eventos que le afectan económicamente y que no se conocían a la fecha de cierre</w:t>
      </w:r>
      <w:r>
        <w:rPr>
          <w:rFonts w:ascii="Arial" w:hAnsi="Arial" w:cs="Arial"/>
        </w:rPr>
        <w:t>.</w:t>
      </w:r>
    </w:p>
    <w:p w14:paraId="1D0FF83B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lastRenderedPageBreak/>
        <w:t>No aplica</w:t>
      </w:r>
    </w:p>
    <w:p w14:paraId="08B29E1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7689E98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Partes relacionadas:</w:t>
      </w:r>
    </w:p>
    <w:p w14:paraId="139901D1" w14:textId="77777777" w:rsidR="00B74EF6" w:rsidRPr="00E1742A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1742A">
        <w:rPr>
          <w:rFonts w:ascii="Arial" w:hAnsi="Arial" w:cs="Arial"/>
        </w:rPr>
        <w:t xml:space="preserve">e debe establecer por escrito que no existen partes relacionadas que pudieran ejercer influencia significativa sobre la toma de decisiones financieras y operativas </w:t>
      </w:r>
    </w:p>
    <w:p w14:paraId="6FE7652C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 xml:space="preserve">No aplica </w:t>
      </w:r>
    </w:p>
    <w:p w14:paraId="1B21364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42D28C6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Responsabilidad sobre la prestación razonable de los estados financieros</w:t>
      </w:r>
    </w:p>
    <w:p w14:paraId="338216FC" w14:textId="77777777" w:rsidR="00B74EF6" w:rsidRDefault="00B74EF6" w:rsidP="00B74EF6">
      <w:pPr>
        <w:jc w:val="both"/>
        <w:rPr>
          <w:rFonts w:ascii="Arial" w:hAnsi="Arial" w:cs="Arial"/>
        </w:rPr>
      </w:pPr>
      <w:r w:rsidRPr="00E1742A">
        <w:rPr>
          <w:rFonts w:ascii="Arial" w:hAnsi="Arial" w:cs="Arial"/>
        </w:rPr>
        <w:t>La información Contable deberá de estar firmada en cada página de la misma e incluir final la siguiente leyenda “Bajo protesta decir la verdad declaramos que los Estados Financieros y sus notas, son razonablemente correctos y son responsabilidad del emisor”. Lo anterior no será aplicable para la información contable consolidada.</w:t>
      </w:r>
    </w:p>
    <w:p w14:paraId="20B8A055" w14:textId="258B842F" w:rsidR="00B74EF6" w:rsidRPr="00EA4E1A" w:rsidRDefault="00B74EF6" w:rsidP="00B74EF6">
      <w:pPr>
        <w:jc w:val="both"/>
        <w:rPr>
          <w:rFonts w:ascii="Arial" w:hAnsi="Arial" w:cs="Arial"/>
        </w:rPr>
      </w:pPr>
    </w:p>
    <w:p w14:paraId="65EBAE19" w14:textId="403D680E" w:rsidR="00B74EF6" w:rsidRPr="00EA4E1A" w:rsidRDefault="00B74EF6" w:rsidP="00B74EF6">
      <w:pPr>
        <w:rPr>
          <w:rFonts w:ascii="Arial" w:hAnsi="Arial" w:cs="Arial"/>
        </w:rPr>
      </w:pPr>
    </w:p>
    <w:p w14:paraId="1D82F164" w14:textId="77777777" w:rsidR="00B74EF6" w:rsidRPr="00EA4E1A" w:rsidRDefault="00B74EF6" w:rsidP="00B74EF6">
      <w:pPr>
        <w:rPr>
          <w:rFonts w:ascii="Arial" w:hAnsi="Arial" w:cs="Arial"/>
        </w:rPr>
      </w:pPr>
    </w:p>
    <w:p w14:paraId="38E785E0" w14:textId="39558FFC" w:rsidR="00B74EF6" w:rsidRPr="00EA4E1A" w:rsidRDefault="00B74EF6" w:rsidP="003B3BAE">
      <w:pPr>
        <w:rPr>
          <w:rFonts w:ascii="Arial" w:hAnsi="Arial" w:cs="Arial"/>
        </w:rPr>
      </w:pPr>
    </w:p>
    <w:p w14:paraId="2507C37C" w14:textId="29E34EBB" w:rsidR="00B74EF6" w:rsidRPr="00EA4E1A" w:rsidRDefault="00130FEC" w:rsidP="00B74EF6">
      <w:pPr>
        <w:rPr>
          <w:rFonts w:ascii="Arial" w:hAnsi="Arial" w:cs="Arial"/>
        </w:rPr>
      </w:pPr>
      <m:oMathPara>
        <m:oMath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Elaborado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Oscar Javier Gomez Carbajal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Auxiliar Contable</m:t>
                  </m:r>
                </m:e>
              </m:eqArr>
            </m:e>
          </m:acc>
          <m:r>
            <w:rPr>
              <w:rFonts w:ascii="Cambria Math" w:hAnsi="Cambria Math" w:cs="Arial"/>
            </w:rPr>
            <m:t xml:space="preserve">                                                    </m:t>
          </m:r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Revisado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C.P. Jose Daniel Macedo Flores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Director Administrativo y Financiero</m:t>
                  </m:r>
                </m:e>
              </m:eqArr>
            </m:e>
          </m:acc>
        </m:oMath>
      </m:oMathPara>
    </w:p>
    <w:p w14:paraId="35E32F1C" w14:textId="77777777" w:rsidR="00B74EF6" w:rsidRDefault="00B74EF6" w:rsidP="00B74EF6">
      <w:pPr>
        <w:rPr>
          <w:rFonts w:ascii="Arial" w:hAnsi="Arial" w:cs="Arial"/>
        </w:rPr>
      </w:pPr>
    </w:p>
    <w:p w14:paraId="55BB5F52" w14:textId="77777777" w:rsidR="00B74EF6" w:rsidRDefault="00B74EF6" w:rsidP="00B74EF6">
      <w:pPr>
        <w:rPr>
          <w:rFonts w:ascii="Arial" w:hAnsi="Arial" w:cs="Arial"/>
        </w:rPr>
      </w:pPr>
    </w:p>
    <w:p w14:paraId="1044AE59" w14:textId="19B8F2B7" w:rsidR="00B74EF6" w:rsidRDefault="00B74EF6" w:rsidP="00B74EF6">
      <w:pPr>
        <w:rPr>
          <w:rFonts w:ascii="Arial" w:hAnsi="Arial" w:cs="Arial"/>
        </w:rPr>
      </w:pPr>
    </w:p>
    <w:p w14:paraId="35E152D7" w14:textId="506D8D48" w:rsidR="00B74EF6" w:rsidRDefault="00130FEC" w:rsidP="00B74EF6">
      <w:pPr>
        <w:rPr>
          <w:rFonts w:ascii="Arial" w:hAnsi="Arial" w:cs="Arial"/>
        </w:rPr>
      </w:pPr>
      <m:oMathPara>
        <m:oMath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Aprobado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C.P. Alfredo Estrada Hernandez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Director General</m:t>
                  </m:r>
                </m:e>
              </m:eqArr>
            </m:e>
          </m:acc>
          <m:r>
            <w:rPr>
              <w:rFonts w:ascii="Cambria Math" w:hAnsi="Cambria Math" w:cs="Arial"/>
            </w:rPr>
            <m:t xml:space="preserve">                                                         </m:t>
          </m:r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Vo.Bo</m:t>
                  </m:r>
                </m:e>
                <m:e>
                  <m:r>
                    <w:rPr>
                      <w:rFonts w:ascii="Cambria Math" w:hAnsi="Cambria Math" w:cs="Arial"/>
                    </w:rPr>
                    <m:t>C.P. Bulmaro Mundo Reyna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Organo De Control Interno</m:t>
                  </m:r>
                </m:e>
              </m:eqArr>
            </m:e>
          </m:acc>
        </m:oMath>
      </m:oMathPara>
    </w:p>
    <w:p w14:paraId="7B302362" w14:textId="77777777" w:rsidR="00A51AFC" w:rsidRDefault="00A51AFC" w:rsidP="00B74EF6">
      <w:pPr>
        <w:rPr>
          <w:rFonts w:ascii="Arial" w:hAnsi="Arial" w:cs="Arial"/>
        </w:rPr>
      </w:pPr>
    </w:p>
    <w:p w14:paraId="67930E73" w14:textId="6E06E62B" w:rsidR="00B74EF6" w:rsidRPr="00EA4E1A" w:rsidRDefault="00B74EF6" w:rsidP="00B74EF6">
      <w:pPr>
        <w:rPr>
          <w:rFonts w:ascii="Arial" w:hAnsi="Arial" w:cs="Arial"/>
        </w:rPr>
      </w:pPr>
    </w:p>
    <w:p w14:paraId="0F9E4459" w14:textId="77777777" w:rsidR="00B74EF6" w:rsidRPr="00EA4E1A" w:rsidRDefault="00B74EF6" w:rsidP="00B74EF6">
      <w:pPr>
        <w:rPr>
          <w:rFonts w:ascii="Arial" w:hAnsi="Arial" w:cs="Arial"/>
        </w:rPr>
      </w:pPr>
    </w:p>
    <w:p w14:paraId="45B0B365" w14:textId="77777777" w:rsidR="00B74EF6" w:rsidRDefault="00B74EF6" w:rsidP="00B74EF6">
      <w:pPr>
        <w:rPr>
          <w:rFonts w:ascii="Arial" w:hAnsi="Arial" w:cs="Arial"/>
        </w:rPr>
      </w:pPr>
    </w:p>
    <w:p w14:paraId="26DEF1D9" w14:textId="77777777" w:rsidR="00B74EF6" w:rsidRPr="00EA4E1A" w:rsidRDefault="00B74EF6" w:rsidP="00B74EF6">
      <w:pPr>
        <w:jc w:val="center"/>
        <w:rPr>
          <w:rFonts w:ascii="Arial" w:hAnsi="Arial" w:cs="Arial"/>
        </w:rPr>
      </w:pPr>
    </w:p>
    <w:p w14:paraId="3DAAD6E7" w14:textId="77777777" w:rsidR="00D843D2" w:rsidRDefault="00D843D2" w:rsidP="00D843D2">
      <w:pPr>
        <w:jc w:val="both"/>
      </w:pPr>
    </w:p>
    <w:p w14:paraId="3A0D1DDA" w14:textId="77777777" w:rsidR="00D843D2" w:rsidRDefault="00D843D2" w:rsidP="00A21BA2">
      <w:pPr>
        <w:ind w:firstLine="708"/>
        <w:jc w:val="both"/>
      </w:pPr>
    </w:p>
    <w:p w14:paraId="4CC356B9" w14:textId="77777777" w:rsidR="00A5072A" w:rsidRDefault="00A5072A" w:rsidP="00845668">
      <w:pPr>
        <w:spacing w:after="0"/>
        <w:contextualSpacing/>
        <w:jc w:val="center"/>
        <w:rPr>
          <w:rFonts w:cs="Times New Roman"/>
          <w:b/>
          <w:szCs w:val="24"/>
        </w:rPr>
      </w:pPr>
      <w:bookmarkStart w:id="0" w:name="_Hlk82773664"/>
    </w:p>
    <w:p w14:paraId="7339BADE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08C2BDE7" w14:textId="59A27083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1FC0615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2C823231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9CC3E1F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B77E73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1ED9BB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237BB5EA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BFEA43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2EE42B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9817E6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7DB2A29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DED1A3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C13C07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CCA90AF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21D570D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7AA1608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C009D25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E994B36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9E74E5A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79B5B69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bookmarkEnd w:id="0"/>
    <w:p w14:paraId="66C9D4B5" w14:textId="77777777" w:rsidR="006E04B3" w:rsidRDefault="006E04B3" w:rsidP="006F6306">
      <w:pPr>
        <w:spacing w:after="0"/>
        <w:contextualSpacing/>
        <w:rPr>
          <w:rFonts w:cs="Times New Roman"/>
          <w:b/>
          <w:szCs w:val="24"/>
        </w:rPr>
      </w:pPr>
    </w:p>
    <w:sectPr w:rsidR="006E04B3" w:rsidSect="00A0202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6B10" w14:textId="77777777" w:rsidR="00972882" w:rsidRDefault="00972882" w:rsidP="002429A7">
      <w:pPr>
        <w:spacing w:after="0" w:line="240" w:lineRule="auto"/>
      </w:pPr>
      <w:r>
        <w:separator/>
      </w:r>
    </w:p>
  </w:endnote>
  <w:endnote w:type="continuationSeparator" w:id="0">
    <w:p w14:paraId="55221A88" w14:textId="77777777" w:rsidR="00972882" w:rsidRDefault="00972882" w:rsidP="0024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yle Queen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0318" w14:textId="5AFB2E1A" w:rsidR="008D1C96" w:rsidRDefault="00375AE8" w:rsidP="00CA1D39">
    <w:pPr>
      <w:spacing w:after="0"/>
      <w:ind w:left="-284" w:right="-1227" w:hanging="284"/>
      <w:rPr>
        <w:sz w:val="20"/>
      </w:rPr>
    </w:pPr>
    <w:r>
      <w:rPr>
        <w:sz w:val="20"/>
      </w:rPr>
      <w:t>CJON. PAJARITOS No. 10</w:t>
    </w:r>
    <w:r w:rsidR="008D1C96">
      <w:rPr>
        <w:sz w:val="20"/>
      </w:rPr>
      <w:t>* TELS. (762) 622-1314 Y 622-1313 *FAX 622-0236 *TAXCO, GRO.</w:t>
    </w:r>
  </w:p>
  <w:p w14:paraId="53A96C2F" w14:textId="77777777" w:rsidR="008D1C96" w:rsidRDefault="008D1C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94F4" w14:textId="77777777" w:rsidR="00A02024" w:rsidRDefault="00A02024" w:rsidP="00A02024">
    <w:pPr>
      <w:pStyle w:val="Piedepgina"/>
      <w:rPr>
        <w:sz w:val="16"/>
        <w:szCs w:val="16"/>
      </w:rPr>
    </w:pPr>
  </w:p>
  <w:p w14:paraId="65F0B825" w14:textId="77777777" w:rsidR="00375AE8" w:rsidRDefault="00375AE8" w:rsidP="00375AE8">
    <w:pPr>
      <w:spacing w:after="0"/>
      <w:ind w:left="-284" w:right="-1227" w:hanging="284"/>
      <w:rPr>
        <w:sz w:val="20"/>
      </w:rPr>
    </w:pPr>
    <w:r>
      <w:rPr>
        <w:sz w:val="20"/>
      </w:rPr>
      <w:t>CJON. PAJARITOS No. 10* TELS. (762) 622-1314 Y 622-1313 *FAX 622-0236 *TAXCO, GRO.</w:t>
    </w:r>
  </w:p>
  <w:p w14:paraId="342A4B63" w14:textId="77777777" w:rsidR="00A02024" w:rsidRDefault="00A020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A269" w14:textId="77777777" w:rsidR="00972882" w:rsidRDefault="00972882" w:rsidP="002429A7">
      <w:pPr>
        <w:spacing w:after="0" w:line="240" w:lineRule="auto"/>
      </w:pPr>
      <w:r>
        <w:separator/>
      </w:r>
    </w:p>
  </w:footnote>
  <w:footnote w:type="continuationSeparator" w:id="0">
    <w:p w14:paraId="6A44E720" w14:textId="77777777" w:rsidR="00972882" w:rsidRDefault="00972882" w:rsidP="0024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FC8B" w14:textId="6AFD7EAE" w:rsidR="008D1C96" w:rsidRDefault="0099489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1552" behindDoc="0" locked="0" layoutInCell="1" allowOverlap="1" wp14:anchorId="19F1B813" wp14:editId="0363F3F4">
          <wp:simplePos x="0" y="0"/>
          <wp:positionH relativeFrom="column">
            <wp:posOffset>-489585</wp:posOffset>
          </wp:positionH>
          <wp:positionV relativeFrom="topMargin">
            <wp:posOffset>133350</wp:posOffset>
          </wp:positionV>
          <wp:extent cx="1476375" cy="608965"/>
          <wp:effectExtent l="0" t="0" r="9525" b="635"/>
          <wp:wrapSquare wrapText="bothSides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A62">
      <w:rPr>
        <w:noProof/>
        <w:lang w:eastAsia="es-MX"/>
      </w:rPr>
      <w:drawing>
        <wp:anchor distT="0" distB="0" distL="114300" distR="114300" simplePos="0" relativeHeight="251669504" behindDoc="0" locked="0" layoutInCell="1" allowOverlap="1" wp14:anchorId="0049ABE8" wp14:editId="735AEDF7">
          <wp:simplePos x="0" y="0"/>
          <wp:positionH relativeFrom="margin">
            <wp:posOffset>5067300</wp:posOffset>
          </wp:positionH>
          <wp:positionV relativeFrom="paragraph">
            <wp:posOffset>-268605</wp:posOffset>
          </wp:positionV>
          <wp:extent cx="1152525" cy="591185"/>
          <wp:effectExtent l="0" t="0" r="9525" b="0"/>
          <wp:wrapSquare wrapText="bothSides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3A6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826D" w14:textId="0CADA661" w:rsidR="00DF03E5" w:rsidRDefault="001C793C" w:rsidP="00DF03E5">
    <w:pPr>
      <w:pStyle w:val="Piedepgina"/>
      <w:rPr>
        <w:sz w:val="16"/>
        <w:szCs w:val="16"/>
      </w:rPr>
    </w:pPr>
    <w:r w:rsidRPr="00DF03E5">
      <w:rPr>
        <w:b/>
        <w:noProof/>
        <w:lang w:eastAsia="es-MX"/>
      </w:rPr>
      <w:drawing>
        <wp:anchor distT="0" distB="0" distL="114300" distR="114300" simplePos="0" relativeHeight="251673600" behindDoc="0" locked="0" layoutInCell="1" allowOverlap="1" wp14:anchorId="6B15ECFA" wp14:editId="564B87D2">
          <wp:simplePos x="0" y="0"/>
          <wp:positionH relativeFrom="page">
            <wp:posOffset>5772150</wp:posOffset>
          </wp:positionH>
          <wp:positionV relativeFrom="paragraph">
            <wp:posOffset>-375920</wp:posOffset>
          </wp:positionV>
          <wp:extent cx="1714500" cy="690245"/>
          <wp:effectExtent l="0" t="0" r="0" b="0"/>
          <wp:wrapThrough wrapText="bothSides">
            <wp:wrapPolygon edited="0">
              <wp:start x="7680" y="596"/>
              <wp:lineTo x="3120" y="3577"/>
              <wp:lineTo x="2400" y="5365"/>
              <wp:lineTo x="2640" y="14307"/>
              <wp:lineTo x="3840" y="17884"/>
              <wp:lineTo x="7680" y="20269"/>
              <wp:lineTo x="13680" y="20269"/>
              <wp:lineTo x="16800" y="19076"/>
              <wp:lineTo x="19200" y="15500"/>
              <wp:lineTo x="19440" y="7154"/>
              <wp:lineTo x="17760" y="4173"/>
              <wp:lineTo x="13680" y="596"/>
              <wp:lineTo x="7680" y="596"/>
            </wp:wrapPolygon>
          </wp:wrapThrough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XCO 21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3E5">
      <w:rPr>
        <w:b/>
        <w:noProof/>
        <w:lang w:eastAsia="es-MX"/>
      </w:rPr>
      <w:drawing>
        <wp:anchor distT="0" distB="0" distL="114300" distR="114300" simplePos="0" relativeHeight="251672576" behindDoc="0" locked="0" layoutInCell="1" allowOverlap="1" wp14:anchorId="0707617A" wp14:editId="4EA0CE10">
          <wp:simplePos x="0" y="0"/>
          <wp:positionH relativeFrom="leftMargin">
            <wp:posOffset>280035</wp:posOffset>
          </wp:positionH>
          <wp:positionV relativeFrom="paragraph">
            <wp:posOffset>-303530</wp:posOffset>
          </wp:positionV>
          <wp:extent cx="1405255" cy="581025"/>
          <wp:effectExtent l="0" t="0" r="4445" b="9525"/>
          <wp:wrapThrough wrapText="bothSides">
            <wp:wrapPolygon edited="0">
              <wp:start x="2635" y="0"/>
              <wp:lineTo x="1171" y="3541"/>
              <wp:lineTo x="0" y="7790"/>
              <wp:lineTo x="0" y="13456"/>
              <wp:lineTo x="2343" y="20538"/>
              <wp:lineTo x="2928" y="21246"/>
              <wp:lineTo x="19619" y="21246"/>
              <wp:lineTo x="20790" y="19830"/>
              <wp:lineTo x="21083" y="16997"/>
              <wp:lineTo x="21376" y="4249"/>
              <wp:lineTo x="6149" y="0"/>
              <wp:lineTo x="2635" y="0"/>
            </wp:wrapPolygon>
          </wp:wrapThrough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T 01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2E5F19" w14:textId="65562624" w:rsidR="00DF03E5" w:rsidRDefault="00DF03E5" w:rsidP="00DF03E5">
    <w:pPr>
      <w:pStyle w:val="Piedepgina"/>
      <w:rPr>
        <w:sz w:val="16"/>
        <w:szCs w:val="16"/>
      </w:rPr>
    </w:pPr>
  </w:p>
  <w:p w14:paraId="74031134" w14:textId="53795EDB" w:rsidR="00DF03E5" w:rsidRDefault="00DF03E5" w:rsidP="00DF03E5">
    <w:pPr>
      <w:pStyle w:val="Piedepgina"/>
      <w:rPr>
        <w:sz w:val="16"/>
        <w:szCs w:val="16"/>
      </w:rPr>
    </w:pPr>
  </w:p>
  <w:p w14:paraId="4DB58A7B" w14:textId="424C5C74" w:rsidR="00DF03E5" w:rsidRPr="00A5072A" w:rsidRDefault="006C7A80" w:rsidP="00A02024">
    <w:pPr>
      <w:pStyle w:val="Piedepgina"/>
      <w:rPr>
        <w:sz w:val="16"/>
        <w:szCs w:val="16"/>
      </w:rPr>
    </w:pPr>
    <w:r w:rsidRPr="00DF03E5"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F81410F" wp14:editId="7D51D333">
              <wp:simplePos x="0" y="0"/>
              <wp:positionH relativeFrom="margin">
                <wp:posOffset>-737235</wp:posOffset>
              </wp:positionH>
              <wp:positionV relativeFrom="paragraph">
                <wp:posOffset>-1</wp:posOffset>
              </wp:positionV>
              <wp:extent cx="7058025" cy="28575"/>
              <wp:effectExtent l="19050" t="19050" r="28575" b="28575"/>
              <wp:wrapNone/>
              <wp:docPr id="45" name="Conector rec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8025" cy="28575"/>
                      </a:xfrm>
                      <a:prstGeom prst="line">
                        <a:avLst/>
                      </a:prstGeom>
                      <a:ln w="28575">
                        <a:solidFill>
                          <a:srgbClr val="FF339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798FF9" id="Conector recto 4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05pt,0" to="497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" strokecolor="#f39" strokeweight="2.25pt">
              <v:stroke joinstyle="miter"/>
              <w10:wrap anchorx="margin"/>
            </v:line>
          </w:pict>
        </mc:Fallback>
      </mc:AlternateContent>
    </w:r>
  </w:p>
  <w:p w14:paraId="44670B89" w14:textId="18F8C904" w:rsidR="00240F2D" w:rsidRPr="00DF03E5" w:rsidRDefault="00240F2D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4F0"/>
    <w:multiLevelType w:val="hybridMultilevel"/>
    <w:tmpl w:val="132CF60C"/>
    <w:lvl w:ilvl="0" w:tplc="195E8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D5474D"/>
    <w:multiLevelType w:val="hybridMultilevel"/>
    <w:tmpl w:val="350C7A5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6E28"/>
    <w:multiLevelType w:val="hybridMultilevel"/>
    <w:tmpl w:val="74C2C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23AA"/>
    <w:multiLevelType w:val="hybridMultilevel"/>
    <w:tmpl w:val="DAB04D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7543"/>
    <w:multiLevelType w:val="hybridMultilevel"/>
    <w:tmpl w:val="D71E39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3911"/>
    <w:multiLevelType w:val="hybridMultilevel"/>
    <w:tmpl w:val="23B4374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A17C8"/>
    <w:multiLevelType w:val="hybridMultilevel"/>
    <w:tmpl w:val="1898CF56"/>
    <w:lvl w:ilvl="0" w:tplc="080A000F">
      <w:start w:val="1"/>
      <w:numFmt w:val="decimal"/>
      <w:lvlText w:val="%1."/>
      <w:lvlJc w:val="left"/>
      <w:pPr>
        <w:ind w:left="1426" w:hanging="360"/>
      </w:pPr>
    </w:lvl>
    <w:lvl w:ilvl="1" w:tplc="080A0019" w:tentative="1">
      <w:start w:val="1"/>
      <w:numFmt w:val="lowerLetter"/>
      <w:lvlText w:val="%2."/>
      <w:lvlJc w:val="left"/>
      <w:pPr>
        <w:ind w:left="2146" w:hanging="360"/>
      </w:pPr>
    </w:lvl>
    <w:lvl w:ilvl="2" w:tplc="080A001B" w:tentative="1">
      <w:start w:val="1"/>
      <w:numFmt w:val="lowerRoman"/>
      <w:lvlText w:val="%3."/>
      <w:lvlJc w:val="right"/>
      <w:pPr>
        <w:ind w:left="2866" w:hanging="180"/>
      </w:pPr>
    </w:lvl>
    <w:lvl w:ilvl="3" w:tplc="080A000F" w:tentative="1">
      <w:start w:val="1"/>
      <w:numFmt w:val="decimal"/>
      <w:lvlText w:val="%4."/>
      <w:lvlJc w:val="left"/>
      <w:pPr>
        <w:ind w:left="3586" w:hanging="360"/>
      </w:pPr>
    </w:lvl>
    <w:lvl w:ilvl="4" w:tplc="080A0019" w:tentative="1">
      <w:start w:val="1"/>
      <w:numFmt w:val="lowerLetter"/>
      <w:lvlText w:val="%5."/>
      <w:lvlJc w:val="left"/>
      <w:pPr>
        <w:ind w:left="4306" w:hanging="360"/>
      </w:pPr>
    </w:lvl>
    <w:lvl w:ilvl="5" w:tplc="080A001B" w:tentative="1">
      <w:start w:val="1"/>
      <w:numFmt w:val="lowerRoman"/>
      <w:lvlText w:val="%6."/>
      <w:lvlJc w:val="right"/>
      <w:pPr>
        <w:ind w:left="5026" w:hanging="180"/>
      </w:pPr>
    </w:lvl>
    <w:lvl w:ilvl="6" w:tplc="080A000F" w:tentative="1">
      <w:start w:val="1"/>
      <w:numFmt w:val="decimal"/>
      <w:lvlText w:val="%7."/>
      <w:lvlJc w:val="left"/>
      <w:pPr>
        <w:ind w:left="5746" w:hanging="360"/>
      </w:pPr>
    </w:lvl>
    <w:lvl w:ilvl="7" w:tplc="080A0019" w:tentative="1">
      <w:start w:val="1"/>
      <w:numFmt w:val="lowerLetter"/>
      <w:lvlText w:val="%8."/>
      <w:lvlJc w:val="left"/>
      <w:pPr>
        <w:ind w:left="6466" w:hanging="360"/>
      </w:pPr>
    </w:lvl>
    <w:lvl w:ilvl="8" w:tplc="08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61025933"/>
    <w:multiLevelType w:val="hybridMultilevel"/>
    <w:tmpl w:val="7F124AC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6B0AF4"/>
    <w:multiLevelType w:val="hybridMultilevel"/>
    <w:tmpl w:val="ECC24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A7"/>
    <w:rsid w:val="000138FD"/>
    <w:rsid w:val="000148A5"/>
    <w:rsid w:val="00052C74"/>
    <w:rsid w:val="0008301A"/>
    <w:rsid w:val="000A037C"/>
    <w:rsid w:val="000E4468"/>
    <w:rsid w:val="00104E1F"/>
    <w:rsid w:val="00105F1F"/>
    <w:rsid w:val="00124408"/>
    <w:rsid w:val="00127478"/>
    <w:rsid w:val="00130FEC"/>
    <w:rsid w:val="00131598"/>
    <w:rsid w:val="0013705C"/>
    <w:rsid w:val="0014150F"/>
    <w:rsid w:val="00154685"/>
    <w:rsid w:val="001805CD"/>
    <w:rsid w:val="00185E20"/>
    <w:rsid w:val="00187796"/>
    <w:rsid w:val="00191089"/>
    <w:rsid w:val="001A03AB"/>
    <w:rsid w:val="001C793C"/>
    <w:rsid w:val="001F0018"/>
    <w:rsid w:val="00200C4C"/>
    <w:rsid w:val="002042CD"/>
    <w:rsid w:val="00207F77"/>
    <w:rsid w:val="00215842"/>
    <w:rsid w:val="00217960"/>
    <w:rsid w:val="00224B1A"/>
    <w:rsid w:val="00240F2D"/>
    <w:rsid w:val="002429A7"/>
    <w:rsid w:val="00254198"/>
    <w:rsid w:val="002716D9"/>
    <w:rsid w:val="00283752"/>
    <w:rsid w:val="00291FA5"/>
    <w:rsid w:val="002929F0"/>
    <w:rsid w:val="00293FFA"/>
    <w:rsid w:val="002C5B6B"/>
    <w:rsid w:val="002E1B65"/>
    <w:rsid w:val="002E349C"/>
    <w:rsid w:val="002E70CF"/>
    <w:rsid w:val="002F0491"/>
    <w:rsid w:val="002F66AB"/>
    <w:rsid w:val="00301302"/>
    <w:rsid w:val="00303FAC"/>
    <w:rsid w:val="00333142"/>
    <w:rsid w:val="00344D51"/>
    <w:rsid w:val="00372461"/>
    <w:rsid w:val="00375AE8"/>
    <w:rsid w:val="0038071A"/>
    <w:rsid w:val="003963C6"/>
    <w:rsid w:val="003B3BAE"/>
    <w:rsid w:val="003B445D"/>
    <w:rsid w:val="003C01EC"/>
    <w:rsid w:val="003C1A6E"/>
    <w:rsid w:val="003C5264"/>
    <w:rsid w:val="003D4480"/>
    <w:rsid w:val="0041084D"/>
    <w:rsid w:val="00414232"/>
    <w:rsid w:val="00416584"/>
    <w:rsid w:val="004429E6"/>
    <w:rsid w:val="0047253E"/>
    <w:rsid w:val="00477BE4"/>
    <w:rsid w:val="004B2483"/>
    <w:rsid w:val="004E537D"/>
    <w:rsid w:val="005210AB"/>
    <w:rsid w:val="005266AF"/>
    <w:rsid w:val="005279E7"/>
    <w:rsid w:val="00535870"/>
    <w:rsid w:val="00547898"/>
    <w:rsid w:val="00551F80"/>
    <w:rsid w:val="0055289D"/>
    <w:rsid w:val="00556178"/>
    <w:rsid w:val="0057055A"/>
    <w:rsid w:val="00581FEA"/>
    <w:rsid w:val="005B1501"/>
    <w:rsid w:val="005C41E0"/>
    <w:rsid w:val="005C521D"/>
    <w:rsid w:val="005E55A5"/>
    <w:rsid w:val="005F2737"/>
    <w:rsid w:val="005F383E"/>
    <w:rsid w:val="00604101"/>
    <w:rsid w:val="006176C5"/>
    <w:rsid w:val="00624C28"/>
    <w:rsid w:val="006720F2"/>
    <w:rsid w:val="0067274B"/>
    <w:rsid w:val="00686FA6"/>
    <w:rsid w:val="0069534A"/>
    <w:rsid w:val="006A7FC9"/>
    <w:rsid w:val="006B270E"/>
    <w:rsid w:val="006B2F76"/>
    <w:rsid w:val="006B4CFA"/>
    <w:rsid w:val="006B4FDC"/>
    <w:rsid w:val="006B608C"/>
    <w:rsid w:val="006B6BA2"/>
    <w:rsid w:val="006B7ADF"/>
    <w:rsid w:val="006C16B7"/>
    <w:rsid w:val="006C3BE9"/>
    <w:rsid w:val="006C4BC1"/>
    <w:rsid w:val="006C7A80"/>
    <w:rsid w:val="006E04B3"/>
    <w:rsid w:val="006F0D56"/>
    <w:rsid w:val="006F6306"/>
    <w:rsid w:val="007110A6"/>
    <w:rsid w:val="00712C76"/>
    <w:rsid w:val="00732FBA"/>
    <w:rsid w:val="00740849"/>
    <w:rsid w:val="00745996"/>
    <w:rsid w:val="0077071D"/>
    <w:rsid w:val="00782D33"/>
    <w:rsid w:val="00787020"/>
    <w:rsid w:val="0079061A"/>
    <w:rsid w:val="00792B2C"/>
    <w:rsid w:val="007D314D"/>
    <w:rsid w:val="007D6821"/>
    <w:rsid w:val="00806DA7"/>
    <w:rsid w:val="008101F3"/>
    <w:rsid w:val="00814FC3"/>
    <w:rsid w:val="008151C7"/>
    <w:rsid w:val="00845668"/>
    <w:rsid w:val="00853851"/>
    <w:rsid w:val="00854D7F"/>
    <w:rsid w:val="008D1C96"/>
    <w:rsid w:val="008D2A2E"/>
    <w:rsid w:val="008F7973"/>
    <w:rsid w:val="00901DFE"/>
    <w:rsid w:val="00922417"/>
    <w:rsid w:val="00923EA2"/>
    <w:rsid w:val="00947A33"/>
    <w:rsid w:val="00950DD8"/>
    <w:rsid w:val="0095715C"/>
    <w:rsid w:val="0096258E"/>
    <w:rsid w:val="009649E9"/>
    <w:rsid w:val="009726DA"/>
    <w:rsid w:val="00972882"/>
    <w:rsid w:val="009865B6"/>
    <w:rsid w:val="0099489C"/>
    <w:rsid w:val="009A2856"/>
    <w:rsid w:val="009F71B9"/>
    <w:rsid w:val="00A02024"/>
    <w:rsid w:val="00A21BA2"/>
    <w:rsid w:val="00A338B9"/>
    <w:rsid w:val="00A410EA"/>
    <w:rsid w:val="00A5072A"/>
    <w:rsid w:val="00A51AFC"/>
    <w:rsid w:val="00A642D2"/>
    <w:rsid w:val="00A667E7"/>
    <w:rsid w:val="00A8583B"/>
    <w:rsid w:val="00AA0FD3"/>
    <w:rsid w:val="00AC2658"/>
    <w:rsid w:val="00AE6E9B"/>
    <w:rsid w:val="00AF6192"/>
    <w:rsid w:val="00B03677"/>
    <w:rsid w:val="00B239F2"/>
    <w:rsid w:val="00B240B4"/>
    <w:rsid w:val="00B3449F"/>
    <w:rsid w:val="00B36DE1"/>
    <w:rsid w:val="00B427F6"/>
    <w:rsid w:val="00B74EF6"/>
    <w:rsid w:val="00B97482"/>
    <w:rsid w:val="00BA3F9F"/>
    <w:rsid w:val="00BB28B6"/>
    <w:rsid w:val="00BD086C"/>
    <w:rsid w:val="00BD527A"/>
    <w:rsid w:val="00C131E3"/>
    <w:rsid w:val="00C1321E"/>
    <w:rsid w:val="00C3337B"/>
    <w:rsid w:val="00C40355"/>
    <w:rsid w:val="00C43283"/>
    <w:rsid w:val="00C46484"/>
    <w:rsid w:val="00C63A62"/>
    <w:rsid w:val="00C648FA"/>
    <w:rsid w:val="00C759BF"/>
    <w:rsid w:val="00C75CB8"/>
    <w:rsid w:val="00C76602"/>
    <w:rsid w:val="00C920D8"/>
    <w:rsid w:val="00CA1D39"/>
    <w:rsid w:val="00CB5036"/>
    <w:rsid w:val="00CF28BA"/>
    <w:rsid w:val="00D1423F"/>
    <w:rsid w:val="00D26BF4"/>
    <w:rsid w:val="00D376E0"/>
    <w:rsid w:val="00D441AF"/>
    <w:rsid w:val="00D515F4"/>
    <w:rsid w:val="00D6507D"/>
    <w:rsid w:val="00D841D3"/>
    <w:rsid w:val="00D843D2"/>
    <w:rsid w:val="00D84D33"/>
    <w:rsid w:val="00D91141"/>
    <w:rsid w:val="00D9370B"/>
    <w:rsid w:val="00D947D6"/>
    <w:rsid w:val="00D9731A"/>
    <w:rsid w:val="00DA2C15"/>
    <w:rsid w:val="00DB3094"/>
    <w:rsid w:val="00DC7A27"/>
    <w:rsid w:val="00DD6F25"/>
    <w:rsid w:val="00DE0FB1"/>
    <w:rsid w:val="00DF03E5"/>
    <w:rsid w:val="00E272BB"/>
    <w:rsid w:val="00E46202"/>
    <w:rsid w:val="00E5170A"/>
    <w:rsid w:val="00E532FA"/>
    <w:rsid w:val="00E7679E"/>
    <w:rsid w:val="00E820D8"/>
    <w:rsid w:val="00ED19BC"/>
    <w:rsid w:val="00EE64A2"/>
    <w:rsid w:val="00F07B87"/>
    <w:rsid w:val="00F14F79"/>
    <w:rsid w:val="00F30AEB"/>
    <w:rsid w:val="00F32F39"/>
    <w:rsid w:val="00F4009B"/>
    <w:rsid w:val="00F902E8"/>
    <w:rsid w:val="00FA4BD1"/>
    <w:rsid w:val="00FD6487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284DE"/>
  <w15:chartTrackingRefBased/>
  <w15:docId w15:val="{5960E3B4-5CCE-490B-8308-BC82753D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39"/>
    <w:pPr>
      <w:spacing w:after="200" w:line="276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55A5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5A5"/>
    <w:pPr>
      <w:keepNext/>
      <w:keepLines/>
      <w:spacing w:before="40" w:after="0"/>
      <w:outlineLvl w:val="1"/>
    </w:pPr>
    <w:rPr>
      <w:rFonts w:ascii="Style Queens" w:eastAsiaTheme="majorEastAsia" w:hAnsi="Style Queens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9A7"/>
  </w:style>
  <w:style w:type="paragraph" w:styleId="Piedepgina">
    <w:name w:val="footer"/>
    <w:basedOn w:val="Normal"/>
    <w:link w:val="PiedepginaCar"/>
    <w:uiPriority w:val="99"/>
    <w:unhideWhenUsed/>
    <w:rsid w:val="0024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9A7"/>
  </w:style>
  <w:style w:type="paragraph" w:styleId="Sinespaciado">
    <w:name w:val="No Spacing"/>
    <w:uiPriority w:val="1"/>
    <w:qFormat/>
    <w:rsid w:val="002429A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96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F28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2C7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E55A5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E55A5"/>
    <w:rPr>
      <w:rFonts w:ascii="Style Queens" w:eastAsiaTheme="majorEastAsia" w:hAnsi="Style Queens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18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A2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2130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MATA</dc:creator>
  <cp:keywords/>
  <dc:description/>
  <cp:lastModifiedBy>Contabilidad 4</cp:lastModifiedBy>
  <cp:revision>3</cp:revision>
  <cp:lastPrinted>2024-05-15T19:34:00Z</cp:lastPrinted>
  <dcterms:created xsi:type="dcterms:W3CDTF">2024-05-15T18:40:00Z</dcterms:created>
  <dcterms:modified xsi:type="dcterms:W3CDTF">2024-05-15T19:38:00Z</dcterms:modified>
</cp:coreProperties>
</file>